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34F68">
      <w:pPr>
        <w:pStyle w:val="16"/>
        <w:widowControl/>
        <w:spacing w:line="435" w:lineRule="atLeast"/>
        <w:ind w:left="0" w:leftChars="0" w:firstLine="0" w:firstLineChars="0"/>
        <w:jc w:val="center"/>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t>评分标准</w:t>
      </w:r>
    </w:p>
    <w:p w14:paraId="25A1BEF8">
      <w:pPr>
        <w:spacing w:line="400" w:lineRule="exact"/>
        <w:ind w:firstLine="472" w:firstLineChars="196"/>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t>一、评标依据及方式</w:t>
      </w:r>
    </w:p>
    <w:p w14:paraId="1D2C858F">
      <w:pPr>
        <w:spacing w:line="400" w:lineRule="exact"/>
        <w:ind w:firstLine="480" w:firstLineChars="200"/>
        <w:rPr>
          <w:rFonts w:asciiTheme="minorEastAsia" w:hAnsiTheme="minorEastAsia" w:eastAsiaTheme="minorEastAsia" w:cstheme="minorEastAsia"/>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14:textFill>
            <w14:solidFill>
              <w14:schemeClr w14:val="tx1">
                <w14:lumMod w14:val="95000"/>
                <w14:lumOff w14:val="5000"/>
              </w14:schemeClr>
            </w14:solidFill>
          </w14:textFill>
        </w:rPr>
        <w:t>1.评标依据：评标委员会以招标文件和投标文件为评标依据，对投标人的投标报价、企业信誉实力</w:t>
      </w:r>
      <w:r>
        <w:rPr>
          <w:rFonts w:hint="eastAsia" w:asciiTheme="minorEastAsia" w:hAnsiTheme="minorEastAsia" w:cstheme="minorEastAsia"/>
          <w:color w:val="0D0D0D" w:themeColor="text1" w:themeTint="F2"/>
          <w:sz w:val="24"/>
          <w:lang w:eastAsia="zh-CN"/>
          <w14:textFill>
            <w14:solidFill>
              <w14:schemeClr w14:val="tx1">
                <w14:lumMod w14:val="95000"/>
                <w14:lumOff w14:val="5000"/>
              </w14:schemeClr>
            </w14:solidFill>
          </w14:textFill>
        </w:rPr>
        <w:t>、产品质量、</w:t>
      </w:r>
      <w:r>
        <w:rPr>
          <w:rFonts w:hint="eastAsia" w:asciiTheme="minorEastAsia" w:hAnsiTheme="minorEastAsia" w:eastAsiaTheme="minorEastAsia" w:cstheme="minorEastAsia"/>
          <w:color w:val="0D0D0D" w:themeColor="text1" w:themeTint="F2"/>
          <w:sz w:val="24"/>
          <w14:textFill>
            <w14:solidFill>
              <w14:schemeClr w14:val="tx1">
                <w14:lumMod w14:val="95000"/>
                <w14:lumOff w14:val="5000"/>
              </w14:schemeClr>
            </w14:solidFill>
          </w14:textFill>
        </w:rPr>
        <w:t>服务方案等方面内容按百分制打分。</w:t>
      </w:r>
    </w:p>
    <w:p w14:paraId="6358D926">
      <w:pPr>
        <w:spacing w:line="400" w:lineRule="exact"/>
        <w:ind w:left="210" w:leftChars="100" w:firstLine="240" w:firstLineChars="100"/>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14:textFill>
            <w14:solidFill>
              <w14:schemeClr w14:val="tx1">
                <w14:lumMod w14:val="95000"/>
                <w14:lumOff w14:val="5000"/>
              </w14:schemeClr>
            </w14:solidFill>
          </w14:textFill>
        </w:rPr>
        <w:t>2.评标方式：以封闭方式进行评标。</w:t>
      </w:r>
    </w:p>
    <w:p w14:paraId="06EB6035">
      <w:pPr>
        <w:spacing w:line="400" w:lineRule="exact"/>
        <w:ind w:firstLine="482" w:firstLineChars="200"/>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t>二、评标办法</w:t>
      </w:r>
    </w:p>
    <w:p w14:paraId="012A1FD1">
      <w:pPr>
        <w:spacing w:line="400" w:lineRule="exact"/>
        <w:ind w:firstLine="480" w:firstLineChars="200"/>
        <w:rPr>
          <w:rFonts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t>（一）对进入详评的，采用综合评估法。</w:t>
      </w:r>
    </w:p>
    <w:p w14:paraId="6B12653A">
      <w:pPr>
        <w:spacing w:line="400" w:lineRule="exact"/>
        <w:ind w:left="210" w:leftChars="100" w:firstLine="240" w:firstLineChars="100"/>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t>（二）计分办法（按四舍五入取至小数点后二位）</w:t>
      </w:r>
    </w:p>
    <w:tbl>
      <w:tblPr>
        <w:tblStyle w:val="9"/>
        <w:tblpPr w:leftFromText="180" w:rightFromText="180" w:vertAnchor="text" w:horzAnchor="margin" w:tblpY="364"/>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
        <w:gridCol w:w="1086"/>
        <w:gridCol w:w="1312"/>
        <w:gridCol w:w="6522"/>
      </w:tblGrid>
      <w:tr w14:paraId="5203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4" w:type="pct"/>
            <w:tcBorders>
              <w:tl2br w:val="nil"/>
              <w:tr2bl w:val="nil"/>
            </w:tcBorders>
            <w:vAlign w:val="center"/>
          </w:tcPr>
          <w:p w14:paraId="189E39AC">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序号</w:t>
            </w:r>
          </w:p>
        </w:tc>
        <w:tc>
          <w:tcPr>
            <w:tcW w:w="1219" w:type="pct"/>
            <w:gridSpan w:val="2"/>
            <w:tcBorders>
              <w:tl2br w:val="nil"/>
              <w:tr2bl w:val="nil"/>
            </w:tcBorders>
          </w:tcPr>
          <w:p w14:paraId="5ED9B31C">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评审因素</w:t>
            </w:r>
          </w:p>
        </w:tc>
        <w:tc>
          <w:tcPr>
            <w:tcW w:w="3316" w:type="pct"/>
            <w:tcBorders>
              <w:tl2br w:val="nil"/>
              <w:tr2bl w:val="nil"/>
            </w:tcBorders>
            <w:vAlign w:val="center"/>
          </w:tcPr>
          <w:p w14:paraId="126928F0">
            <w:pPr>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评审标准</w:t>
            </w:r>
          </w:p>
        </w:tc>
      </w:tr>
      <w:tr w14:paraId="5AC2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464" w:type="pct"/>
            <w:tcBorders>
              <w:tl2br w:val="nil"/>
              <w:tr2bl w:val="nil"/>
            </w:tcBorders>
            <w:vAlign w:val="center"/>
          </w:tcPr>
          <w:p w14:paraId="69E24C9F">
            <w:pPr>
              <w:widowControl/>
              <w:spacing w:line="360" w:lineRule="exact"/>
              <w:jc w:val="center"/>
              <w:rPr>
                <w:rFonts w:hint="eastAsia" w:ascii="宋体" w:hAnsi="宋体" w:eastAsiaTheme="minorEastAsia"/>
                <w:b/>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1</w:t>
            </w:r>
          </w:p>
        </w:tc>
        <w:tc>
          <w:tcPr>
            <w:tcW w:w="552" w:type="pct"/>
            <w:vMerge w:val="restart"/>
            <w:tcBorders>
              <w:tl2br w:val="nil"/>
              <w:tr2bl w:val="nil"/>
            </w:tcBorders>
            <w:vAlign w:val="center"/>
          </w:tcPr>
          <w:p w14:paraId="14F5D81E">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技术评审（</w:t>
            </w: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80</w:t>
            </w:r>
            <w:r>
              <w:rPr>
                <w:rFonts w:hint="eastAsia" w:ascii="宋体" w:hAnsi="宋体"/>
                <w:b/>
                <w:color w:val="0D0D0D" w:themeColor="text1" w:themeTint="F2"/>
                <w:kern w:val="0"/>
                <w:szCs w:val="21"/>
                <w14:textFill>
                  <w14:solidFill>
                    <w14:schemeClr w14:val="tx1">
                      <w14:lumMod w14:val="95000"/>
                      <w14:lumOff w14:val="5000"/>
                    </w14:schemeClr>
                  </w14:solidFill>
                </w14:textFill>
              </w:rPr>
              <w:t>分）</w:t>
            </w:r>
          </w:p>
        </w:tc>
        <w:tc>
          <w:tcPr>
            <w:tcW w:w="667" w:type="pct"/>
            <w:tcBorders>
              <w:tl2br w:val="nil"/>
              <w:tr2bl w:val="nil"/>
            </w:tcBorders>
            <w:vAlign w:val="center"/>
          </w:tcPr>
          <w:p w14:paraId="1CA9E917">
            <w:pPr>
              <w:spacing w:line="360" w:lineRule="exact"/>
              <w:jc w:val="center"/>
              <w:rPr>
                <w:rFonts w:hint="eastAsia"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bCs/>
                <w:color w:val="0D0D0D" w:themeColor="text1" w:themeTint="F2"/>
                <w:szCs w:val="21"/>
                <w:lang w:val="en-US" w:eastAsia="zh-CN"/>
                <w14:textFill>
                  <w14:solidFill>
                    <w14:schemeClr w14:val="tx1">
                      <w14:lumMod w14:val="95000"/>
                      <w14:lumOff w14:val="5000"/>
                    </w14:schemeClr>
                  </w14:solidFill>
                </w14:textFill>
              </w:rPr>
              <w:t>（1）企业信誉</w:t>
            </w:r>
            <w:r>
              <w:rPr>
                <w:rFonts w:hint="eastAsia" w:ascii="宋体" w:hAnsi="宋体"/>
                <w:b/>
                <w:color w:val="0D0D0D" w:themeColor="text1" w:themeTint="F2"/>
                <w:kern w:val="0"/>
                <w:szCs w:val="21"/>
                <w14:textFill>
                  <w14:solidFill>
                    <w14:schemeClr w14:val="tx1">
                      <w14:lumMod w14:val="95000"/>
                      <w14:lumOff w14:val="5000"/>
                    </w14:schemeClr>
                  </w14:solidFill>
                </w14:textFill>
              </w:rPr>
              <w:t>实力评审</w:t>
            </w:r>
          </w:p>
          <w:p w14:paraId="37FB94AA">
            <w:pPr>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Fonts w:ascii="宋体" w:hAnsi="宋体"/>
                <w:b/>
                <w:color w:val="0D0D0D" w:themeColor="text1" w:themeTint="F2"/>
                <w:kern w:val="0"/>
                <w:szCs w:val="21"/>
                <w14:textFill>
                  <w14:solidFill>
                    <w14:schemeClr w14:val="tx1">
                      <w14:lumMod w14:val="95000"/>
                      <w14:lumOff w14:val="5000"/>
                    </w14:schemeClr>
                  </w14:solidFill>
                </w14:textFill>
              </w:rPr>
              <w:t>（</w:t>
            </w: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20</w:t>
            </w:r>
            <w:r>
              <w:rPr>
                <w:rFonts w:hint="eastAsia" w:ascii="宋体" w:hAnsi="宋体"/>
                <w:b/>
                <w:color w:val="0D0D0D" w:themeColor="text1" w:themeTint="F2"/>
                <w:kern w:val="0"/>
                <w:szCs w:val="21"/>
                <w14:textFill>
                  <w14:solidFill>
                    <w14:schemeClr w14:val="tx1">
                      <w14:lumMod w14:val="95000"/>
                      <w14:lumOff w14:val="5000"/>
                    </w14:schemeClr>
                  </w14:solidFill>
                </w14:textFill>
              </w:rPr>
              <w:t>分</w:t>
            </w:r>
            <w:r>
              <w:rPr>
                <w:rFonts w:ascii="宋体" w:hAnsi="宋体"/>
                <w:b/>
                <w:color w:val="0D0D0D" w:themeColor="text1" w:themeTint="F2"/>
                <w:kern w:val="0"/>
                <w:szCs w:val="21"/>
                <w14:textFill>
                  <w14:solidFill>
                    <w14:schemeClr w14:val="tx1">
                      <w14:lumMod w14:val="95000"/>
                      <w14:lumOff w14:val="5000"/>
                    </w14:schemeClr>
                  </w14:solidFill>
                </w14:textFill>
              </w:rPr>
              <w:t>）</w:t>
            </w:r>
          </w:p>
        </w:tc>
        <w:tc>
          <w:tcPr>
            <w:tcW w:w="3316" w:type="pct"/>
            <w:tcBorders>
              <w:tl2br w:val="nil"/>
              <w:tr2bl w:val="nil"/>
            </w:tcBorders>
            <w:vAlign w:val="center"/>
          </w:tcPr>
          <w:p w14:paraId="2D2C65EC">
            <w:pPr>
              <w:widowControl/>
              <w:spacing w:line="360" w:lineRule="exact"/>
              <w:rPr>
                <w:rFonts w:hint="eastAsia" w:ascii="宋体" w:hAnsi="宋体"/>
                <w:color w:val="0D0D0D" w:themeColor="text1" w:themeTint="F2"/>
                <w:szCs w:val="21"/>
                <w:highlight w:val="none"/>
                <w14:textFill>
                  <w14:solidFill>
                    <w14:schemeClr w14:val="tx1">
                      <w14:lumMod w14:val="95000"/>
                      <w14:lumOff w14:val="5000"/>
                    </w14:schemeClr>
                  </w14:solidFill>
                </w14:textFill>
              </w:rPr>
            </w:pPr>
            <w:r>
              <w:rPr>
                <w:rFonts w:hint="eastAsia" w:ascii="宋体" w:hAnsi="宋体"/>
                <w:color w:val="0D0D0D" w:themeColor="text1" w:themeTint="F2"/>
                <w:szCs w:val="21"/>
                <w:highlight w:val="none"/>
                <w14:textFill>
                  <w14:solidFill>
                    <w14:schemeClr w14:val="tx1">
                      <w14:lumMod w14:val="95000"/>
                      <w14:lumOff w14:val="5000"/>
                    </w14:schemeClr>
                  </w14:solidFill>
                </w14:textFill>
              </w:rPr>
              <w:t>评标委员会根据各投标人的企业信誉实力，结合以下评判准则独立打分。</w:t>
            </w:r>
          </w:p>
          <w:p w14:paraId="617AE119">
            <w:pPr>
              <w:widowControl/>
              <w:numPr>
                <w:ilvl w:val="0"/>
                <w:numId w:val="0"/>
              </w:numPr>
              <w:spacing w:line="360" w:lineRule="exact"/>
              <w:rPr>
                <w:rFonts w:hint="eastAsia" w:ascii="宋体" w:hAnsi="宋体" w:cs="宋体"/>
                <w:strike w:val="0"/>
                <w:color w:val="0D0D0D" w:themeColor="text1" w:themeTint="F2"/>
                <w:szCs w:val="21"/>
                <w14:textFill>
                  <w14:solidFill>
                    <w14:schemeClr w14:val="tx1">
                      <w14:lumMod w14:val="95000"/>
                      <w14:lumOff w14:val="5000"/>
                    </w14:schemeClr>
                  </w14:solidFill>
                </w14:textFill>
              </w:rPr>
            </w:pPr>
            <w:bookmarkStart w:id="0" w:name="_GoBack"/>
            <w:bookmarkEnd w:id="0"/>
            <w:r>
              <w:rPr>
                <w:rFonts w:hint="eastAsia" w:ascii="宋体" w:hAnsi="宋体"/>
                <w:color w:val="0D0D0D" w:themeColor="text1" w:themeTint="F2"/>
                <w:szCs w:val="21"/>
                <w:highlight w:val="none"/>
                <w14:textFill>
                  <w14:solidFill>
                    <w14:schemeClr w14:val="tx1">
                      <w14:lumMod w14:val="95000"/>
                      <w14:lumOff w14:val="5000"/>
                    </w14:schemeClr>
                  </w14:solidFill>
                </w14:textFill>
              </w:rPr>
              <w:t>投标人202</w:t>
            </w: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2</w:t>
            </w:r>
            <w:r>
              <w:rPr>
                <w:rFonts w:hint="eastAsia" w:ascii="宋体" w:hAnsi="宋体"/>
                <w:color w:val="0D0D0D" w:themeColor="text1" w:themeTint="F2"/>
                <w:szCs w:val="21"/>
                <w:highlight w:val="none"/>
                <w14:textFill>
                  <w14:solidFill>
                    <w14:schemeClr w14:val="tx1">
                      <w14:lumMod w14:val="95000"/>
                      <w14:lumOff w14:val="5000"/>
                    </w14:schemeClr>
                  </w14:solidFill>
                </w14:textFill>
              </w:rPr>
              <w:t>年以来具有</w:t>
            </w: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广告设计、制作、活动策划、赛事执行、赛事设备租赁</w:t>
            </w:r>
            <w:r>
              <w:rPr>
                <w:rFonts w:hint="eastAsia" w:ascii="宋体" w:hAnsi="宋体"/>
                <w:color w:val="0D0D0D" w:themeColor="text1" w:themeTint="F2"/>
                <w:szCs w:val="21"/>
                <w:highlight w:val="none"/>
                <w14:textFill>
                  <w14:solidFill>
                    <w14:schemeClr w14:val="tx1">
                      <w14:lumMod w14:val="95000"/>
                      <w14:lumOff w14:val="5000"/>
                    </w14:schemeClr>
                  </w14:solidFill>
                </w14:textFill>
              </w:rPr>
              <w:t>类项目业绩的</w:t>
            </w:r>
            <w:r>
              <w:rPr>
                <w:rFonts w:hint="eastAsia" w:ascii="宋体" w:hAnsi="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投标文件中提供</w:t>
            </w:r>
            <w:r>
              <w:rPr>
                <w:rFonts w:hint="eastAsia" w:ascii="宋体" w:hAnsi="宋体"/>
                <w:color w:val="0D0D0D" w:themeColor="text1" w:themeTint="F2"/>
                <w:szCs w:val="21"/>
                <w:highlight w:val="none"/>
                <w:lang w:eastAsia="zh-CN"/>
                <w14:textFill>
                  <w14:solidFill>
                    <w14:schemeClr w14:val="tx1">
                      <w14:lumMod w14:val="95000"/>
                      <w14:lumOff w14:val="5000"/>
                    </w14:schemeClr>
                  </w14:solidFill>
                </w14:textFill>
              </w:rPr>
              <w:t>自治区级技能大赛</w:t>
            </w:r>
            <w:r>
              <w:rPr>
                <w:rFonts w:hint="eastAsia" w:ascii="宋体" w:hAnsi="宋体"/>
                <w:color w:val="0D0D0D" w:themeColor="text1" w:themeTint="F2"/>
                <w:szCs w:val="21"/>
                <w:highlight w:val="none"/>
                <w14:textFill>
                  <w14:solidFill>
                    <w14:schemeClr w14:val="tx1">
                      <w14:lumMod w14:val="95000"/>
                      <w14:lumOff w14:val="5000"/>
                    </w14:schemeClr>
                  </w14:solidFill>
                </w14:textFill>
              </w:rPr>
              <w:t>业绩合同（协议）复印件并加盖单位公章</w:t>
            </w:r>
            <w:r>
              <w:rPr>
                <w:rFonts w:hint="eastAsia" w:ascii="宋体" w:hAnsi="宋体"/>
                <w:color w:val="0D0D0D" w:themeColor="text1" w:themeTint="F2"/>
                <w:szCs w:val="21"/>
                <w:highlight w:val="none"/>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，每提供1项业绩得5分，最多得</w:t>
            </w: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20</w:t>
            </w:r>
            <w:r>
              <w:rPr>
                <w:rFonts w:hint="eastAsia" w:ascii="宋体" w:hAnsi="宋体"/>
                <w:color w:val="0D0D0D" w:themeColor="text1" w:themeTint="F2"/>
                <w:szCs w:val="21"/>
                <w:highlight w:val="none"/>
                <w14:textFill>
                  <w14:solidFill>
                    <w14:schemeClr w14:val="tx1">
                      <w14:lumMod w14:val="95000"/>
                      <w14:lumOff w14:val="5000"/>
                    </w14:schemeClr>
                  </w14:solidFill>
                </w14:textFill>
              </w:rPr>
              <w:t>分。</w:t>
            </w:r>
          </w:p>
        </w:tc>
      </w:tr>
      <w:tr w14:paraId="5579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trPr>
        <w:tc>
          <w:tcPr>
            <w:tcW w:w="464" w:type="pct"/>
            <w:tcBorders>
              <w:top w:val="single" w:color="auto" w:sz="4" w:space="0"/>
              <w:tl2br w:val="nil"/>
              <w:tr2bl w:val="nil"/>
            </w:tcBorders>
            <w:vAlign w:val="center"/>
          </w:tcPr>
          <w:p w14:paraId="01070ACE">
            <w:pPr>
              <w:widowControl/>
              <w:spacing w:line="360" w:lineRule="exact"/>
              <w:jc w:val="center"/>
              <w:rPr>
                <w:rFonts w:hint="default" w:ascii="宋体" w:hAnsi="宋体"/>
                <w:b/>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w:t>
            </w:r>
          </w:p>
        </w:tc>
        <w:tc>
          <w:tcPr>
            <w:tcW w:w="552" w:type="pct"/>
            <w:vMerge w:val="continue"/>
            <w:tcBorders>
              <w:tl2br w:val="nil"/>
              <w:tr2bl w:val="nil"/>
            </w:tcBorders>
            <w:vAlign w:val="center"/>
          </w:tcPr>
          <w:p w14:paraId="1FE78D09">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p>
        </w:tc>
        <w:tc>
          <w:tcPr>
            <w:tcW w:w="667" w:type="pct"/>
            <w:tcBorders>
              <w:top w:val="single" w:color="auto" w:sz="4" w:space="0"/>
              <w:tl2br w:val="nil"/>
              <w:tr2bl w:val="nil"/>
            </w:tcBorders>
            <w:vAlign w:val="center"/>
          </w:tcPr>
          <w:p w14:paraId="30553B70">
            <w:pPr>
              <w:spacing w:line="360" w:lineRule="exact"/>
              <w:jc w:val="center"/>
              <w:rPr>
                <w:rFonts w:hint="eastAsia" w:ascii="宋体" w:hAnsi="宋体"/>
                <w:b/>
                <w:bCs/>
                <w:color w:val="0D0D0D" w:themeColor="text1" w:themeTint="F2"/>
                <w:kern w:val="0"/>
                <w:szCs w:val="21"/>
                <w:lang w:eastAsia="zh-CN"/>
                <w14:textFill>
                  <w14:solidFill>
                    <w14:schemeClr w14:val="tx1">
                      <w14:lumMod w14:val="95000"/>
                      <w14:lumOff w14:val="5000"/>
                    </w14:schemeClr>
                  </w14:solidFill>
                </w14:textFill>
              </w:rPr>
            </w:pPr>
            <w:r>
              <w:rPr>
                <w:rFonts w:hint="eastAsia" w:ascii="宋体" w:hAnsi="宋体"/>
                <w:b/>
                <w:bCs/>
                <w:color w:val="0D0D0D" w:themeColor="text1" w:themeTint="F2"/>
                <w:kern w:val="0"/>
                <w:szCs w:val="21"/>
                <w:lang w:eastAsia="zh-CN"/>
                <w14:textFill>
                  <w14:solidFill>
                    <w14:schemeClr w14:val="tx1">
                      <w14:lumMod w14:val="95000"/>
                      <w14:lumOff w14:val="5000"/>
                    </w14:schemeClr>
                  </w14:solidFill>
                </w14:textFill>
              </w:rPr>
              <w:t>（</w:t>
            </w:r>
            <w: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t>2</w:t>
            </w:r>
            <w:r>
              <w:rPr>
                <w:rFonts w:hint="eastAsia" w:ascii="宋体" w:hAnsi="宋体"/>
                <w:b/>
                <w:bCs/>
                <w:color w:val="0D0D0D" w:themeColor="text1" w:themeTint="F2"/>
                <w:kern w:val="0"/>
                <w:szCs w:val="21"/>
                <w:lang w:eastAsia="zh-CN"/>
                <w14:textFill>
                  <w14:solidFill>
                    <w14:schemeClr w14:val="tx1">
                      <w14:lumMod w14:val="95000"/>
                      <w14:lumOff w14:val="5000"/>
                    </w14:schemeClr>
                  </w14:solidFill>
                </w14:textFill>
              </w:rPr>
              <w:t>）设计方案</w:t>
            </w:r>
            <w:r>
              <w:rPr>
                <w:rFonts w:hint="eastAsia" w:ascii="宋体" w:hAnsi="宋体"/>
                <w:b/>
                <w:bCs/>
                <w:color w:val="0D0D0D" w:themeColor="text1" w:themeTint="F2"/>
                <w:kern w:val="0"/>
                <w:szCs w:val="21"/>
                <w14:textFill>
                  <w14:solidFill>
                    <w14:schemeClr w14:val="tx1">
                      <w14:lumMod w14:val="95000"/>
                      <w14:lumOff w14:val="5000"/>
                    </w14:schemeClr>
                  </w14:solidFill>
                </w14:textFill>
              </w:rPr>
              <w:t>（</w:t>
            </w:r>
            <w: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t>40</w:t>
            </w:r>
            <w:r>
              <w:rPr>
                <w:rFonts w:hint="eastAsia" w:ascii="宋体" w:hAnsi="宋体"/>
                <w:b/>
                <w:bCs/>
                <w:color w:val="0D0D0D" w:themeColor="text1" w:themeTint="F2"/>
                <w:kern w:val="0"/>
                <w:szCs w:val="21"/>
                <w14:textFill>
                  <w14:solidFill>
                    <w14:schemeClr w14:val="tx1">
                      <w14:lumMod w14:val="95000"/>
                      <w14:lumOff w14:val="5000"/>
                    </w14:schemeClr>
                  </w14:solidFill>
                </w14:textFill>
              </w:rPr>
              <w:t>分）</w:t>
            </w:r>
          </w:p>
        </w:tc>
        <w:tc>
          <w:tcPr>
            <w:tcW w:w="3316" w:type="pct"/>
            <w:tcBorders>
              <w:top w:val="single" w:color="auto" w:sz="4" w:space="0"/>
              <w:tl2br w:val="nil"/>
              <w:tr2bl w:val="nil"/>
            </w:tcBorders>
            <w:vAlign w:val="center"/>
          </w:tcPr>
          <w:p w14:paraId="2CF16429">
            <w:pPr>
              <w:widowControl/>
              <w:spacing w:line="360" w:lineRule="exact"/>
              <w:rPr>
                <w:rFonts w:hint="eastAsia" w:ascii="宋体" w:hAnsi="宋体"/>
                <w:color w:val="0D0D0D" w:themeColor="text1" w:themeTint="F2"/>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w:t>
            </w:r>
            <w:r>
              <w:rPr>
                <w:rFonts w:hint="eastAsia" w:ascii="宋体" w:hAnsi="宋体"/>
                <w:color w:val="0D0D0D" w:themeColor="text1" w:themeTint="F2"/>
                <w:szCs w:val="21"/>
                <w:lang w:eastAsia="zh-CN"/>
                <w14:textFill>
                  <w14:solidFill>
                    <w14:schemeClr w14:val="tx1">
                      <w14:lumMod w14:val="95000"/>
                      <w14:lumOff w14:val="5000"/>
                    </w14:schemeClr>
                  </w14:solidFill>
                </w14:textFill>
              </w:rPr>
              <w:t>根据农民工技能大赛风格，设计活动全案设计稿。</w:t>
            </w:r>
          </w:p>
          <w:p w14:paraId="257C14AA">
            <w:pPr>
              <w:widowControl/>
              <w:spacing w:line="360" w:lineRule="exact"/>
              <w:rPr>
                <w:rFonts w:hint="default"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优：与农民工技能大赛高度契合，色彩、图形元素；分区布局合理，视觉效果美观，设计新颖独特；安装维护更换便捷，性价比高。得分30分。</w:t>
            </w:r>
          </w:p>
          <w:p w14:paraId="08AB88CF">
            <w:pPr>
              <w:widowControl/>
              <w:spacing w:line="36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良：.基本符合农民工技能大赛整体风格；视觉效果较好；安装维护更换相对方便，性价比较高。得分20分。</w:t>
            </w:r>
          </w:p>
          <w:p w14:paraId="2E33DE15">
            <w:pPr>
              <w:widowControl/>
              <w:spacing w:line="36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一般：与农民工技能大赛整体风格契合度低；视觉效果一般；安装维护更换有较大难度，实用性欠佳，性价比低。得分10分。</w:t>
            </w:r>
          </w:p>
          <w:p w14:paraId="56F853BF">
            <w:pPr>
              <w:widowControl/>
              <w:spacing w:line="36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差：与农民工技能大赛整体风格契合度较低；视觉效果差；安装维护更换有较大难度，实用性欠佳，性价比低。得分0分。</w:t>
            </w:r>
          </w:p>
          <w:p w14:paraId="1AC62AF1">
            <w:pPr>
              <w:widowControl/>
              <w:spacing w:line="360" w:lineRule="exact"/>
              <w:rPr>
                <w:rFonts w:hint="default" w:ascii="宋体" w:hAnsi="宋体" w:eastAsiaTheme="minorEastAsia"/>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2.</w:t>
            </w:r>
            <w:r>
              <w:rPr>
                <w:rFonts w:hint="eastAsia" w:ascii="宋体" w:hAnsi="宋体" w:cs="宋体"/>
                <w:strike w:val="0"/>
                <w:color w:val="0D0D0D" w:themeColor="text1" w:themeTint="F2"/>
                <w:szCs w:val="21"/>
                <w14:textFill>
                  <w14:solidFill>
                    <w14:schemeClr w14:val="tx1">
                      <w14:lumMod w14:val="95000"/>
                      <w14:lumOff w14:val="5000"/>
                    </w14:schemeClr>
                  </w14:solidFill>
                </w14:textFill>
              </w:rPr>
              <w:t>对</w:t>
            </w:r>
            <w:r>
              <w:rPr>
                <w:rFonts w:hint="eastAsia" w:ascii="宋体" w:hAnsi="宋体" w:cs="宋体"/>
                <w:strike w:val="0"/>
                <w:color w:val="0D0D0D" w:themeColor="text1" w:themeTint="F2"/>
                <w:szCs w:val="21"/>
                <w:lang w:eastAsia="zh-CN"/>
                <w14:textFill>
                  <w14:solidFill>
                    <w14:schemeClr w14:val="tx1">
                      <w14:lumMod w14:val="95000"/>
                      <w14:lumOff w14:val="5000"/>
                    </w14:schemeClr>
                  </w14:solidFill>
                </w14:textFill>
              </w:rPr>
              <w:t>农民工技能比赛</w:t>
            </w:r>
            <w:r>
              <w:rPr>
                <w:rFonts w:hint="eastAsia" w:ascii="宋体" w:hAnsi="宋体" w:cs="宋体"/>
                <w:strike w:val="0"/>
                <w:color w:val="0D0D0D" w:themeColor="text1" w:themeTint="F2"/>
                <w:szCs w:val="21"/>
                <w14:textFill>
                  <w14:solidFill>
                    <w14:schemeClr w14:val="tx1">
                      <w14:lumMod w14:val="95000"/>
                      <w14:lumOff w14:val="5000"/>
                    </w14:schemeClr>
                  </w14:solidFill>
                </w14:textFill>
              </w:rPr>
              <w:t>总体设计有深刻认识，表达清晰、完整，措施具体、有效；设计、制作、安装、维护各个阶段清晰、合理，符合规范要求</w:t>
            </w:r>
            <w:r>
              <w:rPr>
                <w:rFonts w:hint="eastAsia" w:ascii="宋体" w:hAnsi="宋体" w:cs="宋体"/>
                <w:strike w:val="0"/>
                <w:color w:val="0D0D0D" w:themeColor="text1" w:themeTint="F2"/>
                <w:szCs w:val="21"/>
                <w:lang w:eastAsia="zh-CN"/>
                <w14:textFill>
                  <w14:solidFill>
                    <w14:schemeClr w14:val="tx1">
                      <w14:lumMod w14:val="95000"/>
                      <w14:lumOff w14:val="5000"/>
                    </w14:schemeClr>
                  </w14:solidFill>
                </w14:textFill>
              </w:rPr>
              <w:t>。优</w:t>
            </w:r>
            <w:r>
              <w:rPr>
                <w:rFonts w:hint="eastAsia" w:ascii="宋体" w:hAnsi="宋体" w:cs="宋体"/>
                <w:strike w:val="0"/>
                <w:color w:val="0D0D0D" w:themeColor="text1" w:themeTint="F2"/>
                <w:szCs w:val="21"/>
                <w:lang w:val="en-US" w:eastAsia="zh-CN"/>
                <w14:textFill>
                  <w14:solidFill>
                    <w14:schemeClr w14:val="tx1">
                      <w14:lumMod w14:val="95000"/>
                      <w14:lumOff w14:val="5000"/>
                    </w14:schemeClr>
                  </w14:solidFill>
                </w14:textFill>
              </w:rPr>
              <w:t>10分，良7，一般3，分差0分。</w:t>
            </w:r>
          </w:p>
        </w:tc>
      </w:tr>
      <w:tr w14:paraId="751A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64" w:type="pct"/>
            <w:tcBorders>
              <w:tl2br w:val="nil"/>
              <w:tr2bl w:val="nil"/>
            </w:tcBorders>
            <w:vAlign w:val="center"/>
          </w:tcPr>
          <w:p w14:paraId="01BDC261">
            <w:pPr>
              <w:widowControl/>
              <w:spacing w:line="360" w:lineRule="exact"/>
              <w:jc w:val="center"/>
              <w:rPr>
                <w:rFonts w:hint="eastAsia" w:ascii="宋体" w:hAnsi="宋体" w:eastAsiaTheme="minorEastAsia"/>
                <w:b/>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3</w:t>
            </w:r>
          </w:p>
        </w:tc>
        <w:tc>
          <w:tcPr>
            <w:tcW w:w="552" w:type="pct"/>
            <w:vMerge w:val="continue"/>
            <w:tcBorders>
              <w:tl2br w:val="nil"/>
              <w:tr2bl w:val="nil"/>
            </w:tcBorders>
            <w:vAlign w:val="center"/>
          </w:tcPr>
          <w:p w14:paraId="39040F9C">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p>
        </w:tc>
        <w:tc>
          <w:tcPr>
            <w:tcW w:w="667" w:type="pct"/>
            <w:tcBorders>
              <w:tl2br w:val="nil"/>
              <w:tr2bl w:val="nil"/>
            </w:tcBorders>
            <w:vAlign w:val="center"/>
          </w:tcPr>
          <w:p w14:paraId="65ADD983">
            <w:pPr>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b/>
                <w:bCs/>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b/>
                <w:bCs/>
                <w:color w:val="0D0D0D" w:themeColor="text1" w:themeTint="F2"/>
                <w:szCs w:val="21"/>
                <w:lang w:eastAsia="zh-CN"/>
                <w14:textFill>
                  <w14:solidFill>
                    <w14:schemeClr w14:val="tx1">
                      <w14:lumMod w14:val="95000"/>
                      <w14:lumOff w14:val="5000"/>
                    </w14:schemeClr>
                  </w14:solidFill>
                </w14:textFill>
              </w:rPr>
              <w:t>）服务承诺分</w:t>
            </w: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20</w:t>
            </w:r>
            <w:r>
              <w:rPr>
                <w:rFonts w:hint="eastAsia" w:ascii="宋体" w:hAnsi="宋体"/>
                <w:b/>
                <w:color w:val="0D0D0D" w:themeColor="text1" w:themeTint="F2"/>
                <w:kern w:val="0"/>
                <w:szCs w:val="21"/>
                <w14:textFill>
                  <w14:solidFill>
                    <w14:schemeClr w14:val="tx1">
                      <w14:lumMod w14:val="95000"/>
                      <w14:lumOff w14:val="5000"/>
                    </w14:schemeClr>
                  </w14:solidFill>
                </w14:textFill>
              </w:rPr>
              <w:t>分</w:t>
            </w:r>
            <w:r>
              <w:rPr>
                <w:rFonts w:ascii="宋体" w:hAnsi="宋体"/>
                <w:b/>
                <w:color w:val="0D0D0D" w:themeColor="text1" w:themeTint="F2"/>
                <w:kern w:val="0"/>
                <w:szCs w:val="21"/>
                <w14:textFill>
                  <w14:solidFill>
                    <w14:schemeClr w14:val="tx1">
                      <w14:lumMod w14:val="95000"/>
                      <w14:lumOff w14:val="5000"/>
                    </w14:schemeClr>
                  </w14:solidFill>
                </w14:textFill>
              </w:rPr>
              <w:t>）</w:t>
            </w:r>
          </w:p>
        </w:tc>
        <w:tc>
          <w:tcPr>
            <w:tcW w:w="3316" w:type="pct"/>
            <w:tcBorders>
              <w:tl2br w:val="nil"/>
              <w:tr2bl w:val="nil"/>
            </w:tcBorders>
            <w:vAlign w:val="center"/>
          </w:tcPr>
          <w:p w14:paraId="60C088AA">
            <w:pPr>
              <w:widowControl/>
              <w:spacing w:line="36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评委根据各投标人提供的服务</w:t>
            </w:r>
            <w:r>
              <w:rPr>
                <w:rFonts w:hint="eastAsia" w:ascii="宋体" w:hAnsi="宋体"/>
                <w:color w:val="0D0D0D" w:themeColor="text1" w:themeTint="F2"/>
                <w:szCs w:val="21"/>
                <w:lang w:eastAsia="zh-CN"/>
                <w14:textFill>
                  <w14:solidFill>
                    <w14:schemeClr w14:val="tx1">
                      <w14:lumMod w14:val="95000"/>
                      <w14:lumOff w14:val="5000"/>
                    </w14:schemeClr>
                  </w14:solidFill>
                </w14:textFill>
              </w:rPr>
              <w:t>承诺</w:t>
            </w:r>
            <w:r>
              <w:rPr>
                <w:rFonts w:hint="eastAsia" w:ascii="宋体" w:hAnsi="宋体"/>
                <w:color w:val="0D0D0D" w:themeColor="text1" w:themeTint="F2"/>
                <w:szCs w:val="21"/>
                <w14:textFill>
                  <w14:solidFill>
                    <w14:schemeClr w14:val="tx1">
                      <w14:lumMod w14:val="95000"/>
                      <w14:lumOff w14:val="5000"/>
                    </w14:schemeClr>
                  </w14:solidFill>
                </w14:textFill>
              </w:rPr>
              <w:t>，按以下规定进行独立评审并独立打分。</w:t>
            </w:r>
          </w:p>
          <w:p w14:paraId="504B2A8B">
            <w:pPr>
              <w:widowControl/>
              <w:numPr>
                <w:ilvl w:val="0"/>
                <w:numId w:val="0"/>
              </w:numPr>
              <w:spacing w:line="36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w:t>
            </w:r>
            <w:r>
              <w:rPr>
                <w:rFonts w:hint="eastAsia" w:ascii="宋体" w:hAnsi="宋体"/>
                <w:color w:val="0D0D0D" w:themeColor="text1" w:themeTint="F2"/>
                <w:szCs w:val="21"/>
                <w14:textFill>
                  <w14:solidFill>
                    <w14:schemeClr w14:val="tx1">
                      <w14:lumMod w14:val="95000"/>
                      <w14:lumOff w14:val="5000"/>
                    </w14:schemeClr>
                  </w14:solidFill>
                </w14:textFill>
              </w:rPr>
              <w:t>服务方案承诺</w:t>
            </w:r>
            <w:r>
              <w:rPr>
                <w:rFonts w:hint="eastAsia" w:ascii="宋体" w:hAnsi="宋体"/>
                <w:color w:val="0D0D0D" w:themeColor="text1" w:themeTint="F2"/>
                <w:szCs w:val="21"/>
                <w:lang w:eastAsia="zh-CN"/>
                <w14:textFill>
                  <w14:solidFill>
                    <w14:schemeClr w14:val="tx1">
                      <w14:lumMod w14:val="95000"/>
                      <w14:lumOff w14:val="5000"/>
                    </w14:schemeClr>
                  </w14:solidFill>
                </w14:textFill>
              </w:rPr>
              <w:t>紧急情况下</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1小时内响应需求，能够做到当天设计、当天定稿、安排生产、第二天安装，对于采购人临时增加物料等紧急需求，增派人手全力支撑</w:t>
            </w:r>
            <w:r>
              <w:rPr>
                <w:rFonts w:hint="eastAsia" w:ascii="宋体" w:hAnsi="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得</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10</w:t>
            </w:r>
            <w:r>
              <w:rPr>
                <w:rFonts w:hint="eastAsia" w:ascii="宋体" w:hAnsi="宋体"/>
                <w:color w:val="0D0D0D" w:themeColor="text1" w:themeTint="F2"/>
                <w:szCs w:val="21"/>
                <w14:textFill>
                  <w14:solidFill>
                    <w14:schemeClr w14:val="tx1">
                      <w14:lumMod w14:val="95000"/>
                      <w14:lumOff w14:val="5000"/>
                    </w14:schemeClr>
                  </w14:solidFill>
                </w14:textFill>
              </w:rPr>
              <w:t>分。</w:t>
            </w:r>
          </w:p>
          <w:p w14:paraId="005AFD9E">
            <w:pPr>
              <w:widowControl/>
              <w:spacing w:line="36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2.</w:t>
            </w:r>
            <w:r>
              <w:rPr>
                <w:rFonts w:hint="eastAsia" w:ascii="宋体" w:hAnsi="宋体"/>
                <w:color w:val="0D0D0D" w:themeColor="text1" w:themeTint="F2"/>
                <w:szCs w:val="21"/>
                <w14:textFill>
                  <w14:solidFill>
                    <w14:schemeClr w14:val="tx1">
                      <w14:lumMod w14:val="95000"/>
                      <w14:lumOff w14:val="5000"/>
                    </w14:schemeClr>
                  </w14:solidFill>
                </w14:textFill>
              </w:rPr>
              <w:t>服务方案承诺周日服务或紧急事务周日可处理的，得</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5</w:t>
            </w:r>
            <w:r>
              <w:rPr>
                <w:rFonts w:hint="eastAsia" w:ascii="宋体" w:hAnsi="宋体"/>
                <w:color w:val="0D0D0D" w:themeColor="text1" w:themeTint="F2"/>
                <w:szCs w:val="21"/>
                <w14:textFill>
                  <w14:solidFill>
                    <w14:schemeClr w14:val="tx1">
                      <w14:lumMod w14:val="95000"/>
                      <w14:lumOff w14:val="5000"/>
                    </w14:schemeClr>
                  </w14:solidFill>
                </w14:textFill>
              </w:rPr>
              <w:t>分。</w:t>
            </w:r>
          </w:p>
          <w:p w14:paraId="6DDF5AD7">
            <w:pPr>
              <w:widowControl/>
              <w:spacing w:line="360" w:lineRule="exact"/>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3.服务方案具有代客户申报相关行政审批事务等服务的，得5分。</w:t>
            </w:r>
          </w:p>
          <w:p w14:paraId="1EC1E4CC">
            <w:pPr>
              <w:widowControl/>
              <w:spacing w:line="360" w:lineRule="exact"/>
              <w:rPr>
                <w:rFonts w:hint="eastAsia" w:ascii="宋体" w:hAnsi="宋体" w:cs="宋体" w:eastAsiaTheme="minorEastAsia"/>
                <w:strike w:val="0"/>
                <w:color w:val="0D0D0D" w:themeColor="text1" w:themeTint="F2"/>
                <w:szCs w:val="21"/>
                <w:lang w:eastAsia="zh-CN"/>
                <w14:textFill>
                  <w14:solidFill>
                    <w14:schemeClr w14:val="tx1">
                      <w14:lumMod w14:val="95000"/>
                      <w14:lumOff w14:val="5000"/>
                    </w14:schemeClr>
                  </w14:solidFill>
                </w14:textFill>
              </w:rPr>
            </w:pPr>
            <w:r>
              <w:rPr>
                <w:rFonts w:hint="eastAsia" w:ascii="宋体" w:hAnsi="宋体" w:cs="宋体"/>
                <w:strike w:val="0"/>
                <w:color w:val="0D0D0D" w:themeColor="text1" w:themeTint="F2"/>
                <w:szCs w:val="21"/>
                <w:lang w:eastAsia="zh-CN"/>
                <w14:textFill>
                  <w14:solidFill>
                    <w14:schemeClr w14:val="tx1">
                      <w14:lumMod w14:val="95000"/>
                      <w14:lumOff w14:val="5000"/>
                    </w14:schemeClr>
                  </w14:solidFill>
                </w14:textFill>
              </w:rPr>
              <w:t>注：</w:t>
            </w:r>
            <w:r>
              <w:rPr>
                <w:rFonts w:hint="eastAsia" w:ascii="宋体" w:hAnsi="宋体"/>
                <w:color w:val="0D0D0D" w:themeColor="text1" w:themeTint="F2"/>
                <w:szCs w:val="21"/>
                <w14:textFill>
                  <w14:solidFill>
                    <w14:schemeClr w14:val="tx1">
                      <w14:lumMod w14:val="95000"/>
                      <w14:lumOff w14:val="5000"/>
                    </w14:schemeClr>
                  </w14:solidFill>
                </w14:textFill>
              </w:rPr>
              <w:t>投标人于投标文件中提供完整的承诺函并加盖单位公章，否则不得分</w:t>
            </w:r>
          </w:p>
        </w:tc>
      </w:tr>
      <w:tr w14:paraId="5213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464" w:type="pct"/>
            <w:tcBorders>
              <w:tl2br w:val="nil"/>
              <w:tr2bl w:val="nil"/>
            </w:tcBorders>
            <w:vAlign w:val="center"/>
          </w:tcPr>
          <w:p w14:paraId="51E0429C">
            <w:pPr>
              <w:widowControl/>
              <w:spacing w:line="360" w:lineRule="exact"/>
              <w:jc w:val="center"/>
              <w:rPr>
                <w:rFonts w:hint="eastAsia" w:ascii="宋体" w:hAnsi="宋体" w:eastAsiaTheme="minorEastAsia"/>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t>4</w:t>
            </w:r>
          </w:p>
        </w:tc>
        <w:tc>
          <w:tcPr>
            <w:tcW w:w="552" w:type="pct"/>
            <w:tcBorders>
              <w:tl2br w:val="nil"/>
              <w:tr2bl w:val="nil"/>
            </w:tcBorders>
            <w:vAlign w:val="center"/>
          </w:tcPr>
          <w:p w14:paraId="0841080D">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价格</w:t>
            </w:r>
            <w:r>
              <w:rPr>
                <w:rFonts w:hint="eastAsia" w:ascii="宋体" w:hAnsi="宋体"/>
                <w:b/>
                <w:color w:val="0D0D0D" w:themeColor="text1" w:themeTint="F2"/>
                <w:kern w:val="0"/>
                <w:szCs w:val="21"/>
                <w:lang w:eastAsia="zh-CN"/>
                <w14:textFill>
                  <w14:solidFill>
                    <w14:schemeClr w14:val="tx1">
                      <w14:lumMod w14:val="95000"/>
                      <w14:lumOff w14:val="5000"/>
                    </w14:schemeClr>
                  </w14:solidFill>
                </w14:textFill>
              </w:rPr>
              <w:t>评审</w:t>
            </w:r>
            <w:r>
              <w:rPr>
                <w:rFonts w:hint="eastAsia" w:ascii="宋体" w:hAnsi="宋体"/>
                <w:b/>
                <w:color w:val="0D0D0D" w:themeColor="text1" w:themeTint="F2"/>
                <w:kern w:val="0"/>
                <w:szCs w:val="21"/>
                <w14:textFill>
                  <w14:solidFill>
                    <w14:schemeClr w14:val="tx1">
                      <w14:lumMod w14:val="95000"/>
                      <w14:lumOff w14:val="5000"/>
                    </w14:schemeClr>
                  </w14:solidFill>
                </w14:textFill>
              </w:rPr>
              <w:t>（</w:t>
            </w: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20</w:t>
            </w:r>
            <w:r>
              <w:rPr>
                <w:rFonts w:hint="eastAsia" w:ascii="宋体" w:hAnsi="宋体"/>
                <w:b/>
                <w:color w:val="0D0D0D" w:themeColor="text1" w:themeTint="F2"/>
                <w:kern w:val="0"/>
                <w:szCs w:val="21"/>
                <w14:textFill>
                  <w14:solidFill>
                    <w14:schemeClr w14:val="tx1">
                      <w14:lumMod w14:val="95000"/>
                      <w14:lumOff w14:val="5000"/>
                    </w14:schemeClr>
                  </w14:solidFill>
                </w14:textFill>
              </w:rPr>
              <w:t>分）</w:t>
            </w:r>
          </w:p>
        </w:tc>
        <w:tc>
          <w:tcPr>
            <w:tcW w:w="667" w:type="pct"/>
            <w:tcBorders>
              <w:tl2br w:val="nil"/>
              <w:tr2bl w:val="nil"/>
            </w:tcBorders>
            <w:vAlign w:val="center"/>
          </w:tcPr>
          <w:p w14:paraId="22F0F622">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价格分</w:t>
            </w:r>
          </w:p>
          <w:p w14:paraId="0C9593CF">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w:t>
            </w: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20</w:t>
            </w:r>
            <w:r>
              <w:rPr>
                <w:rFonts w:hint="eastAsia" w:ascii="宋体" w:hAnsi="宋体"/>
                <w:b/>
                <w:color w:val="0D0D0D" w:themeColor="text1" w:themeTint="F2"/>
                <w:kern w:val="0"/>
                <w:szCs w:val="21"/>
                <w14:textFill>
                  <w14:solidFill>
                    <w14:schemeClr w14:val="tx1">
                      <w14:lumMod w14:val="95000"/>
                      <w14:lumOff w14:val="5000"/>
                    </w14:schemeClr>
                  </w14:solidFill>
                </w14:textFill>
              </w:rPr>
              <w:t>分）</w:t>
            </w:r>
          </w:p>
        </w:tc>
        <w:tc>
          <w:tcPr>
            <w:tcW w:w="3316" w:type="pct"/>
            <w:tcBorders>
              <w:tl2br w:val="nil"/>
              <w:tr2bl w:val="nil"/>
            </w:tcBorders>
            <w:vAlign w:val="center"/>
          </w:tcPr>
          <w:p w14:paraId="4081B99D">
            <w:pPr>
              <w:spacing w:line="400" w:lineRule="exact"/>
              <w:rPr>
                <w:rFonts w:hint="eastAsia"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宋体" w:hAnsi="宋体"/>
                <w:bCs/>
                <w:color w:val="0D0D0D" w:themeColor="text1" w:themeTint="F2"/>
                <w:kern w:val="0"/>
                <w:szCs w:val="21"/>
                <w14:textFill>
                  <w14:solidFill>
                    <w14:schemeClr w14:val="tx1">
                      <w14:lumMod w14:val="95000"/>
                      <w14:lumOff w14:val="5000"/>
                    </w14:schemeClr>
                  </w14:solidFill>
                </w14:textFill>
              </w:rPr>
              <w:t>投标人价格分=（所有有效投标人中最低投标报价/该投标人的投标报价）×20分。</w:t>
            </w:r>
          </w:p>
          <w:p w14:paraId="6EC1E081">
            <w:pPr>
              <w:spacing w:line="400" w:lineRule="exact"/>
              <w:rPr>
                <w:rFonts w:hint="eastAsia" w:ascii="宋体" w:hAnsi="宋体"/>
                <w:bCs/>
                <w:color w:val="0D0D0D" w:themeColor="text1" w:themeTint="F2"/>
                <w:kern w:val="0"/>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1"/>
                <w:szCs w:val="21"/>
                <w:lang w:eastAsia="zh-CN"/>
                <w14:textFill>
                  <w14:solidFill>
                    <w14:schemeClr w14:val="tx1">
                      <w14:lumMod w14:val="95000"/>
                      <w14:lumOff w14:val="5000"/>
                    </w14:schemeClr>
                  </w14:solidFill>
                </w14:textFill>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374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683" w:type="pct"/>
            <w:gridSpan w:val="3"/>
            <w:tcBorders>
              <w:tl2br w:val="nil"/>
              <w:tr2bl w:val="nil"/>
            </w:tcBorders>
            <w:vAlign w:val="center"/>
          </w:tcPr>
          <w:p w14:paraId="1DE927D9">
            <w:pPr>
              <w:widowControl/>
              <w:spacing w:line="360" w:lineRule="exact"/>
              <w:jc w:val="center"/>
              <w:rPr>
                <w:rFonts w:ascii="宋体" w:hAnsi="宋体" w:cs="宋体"/>
                <w:b/>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综合评分（即投标人汇总得分）</w:t>
            </w:r>
          </w:p>
        </w:tc>
        <w:tc>
          <w:tcPr>
            <w:tcW w:w="3316" w:type="pct"/>
            <w:tcBorders>
              <w:tl2br w:val="nil"/>
              <w:tr2bl w:val="nil"/>
            </w:tcBorders>
            <w:vAlign w:val="center"/>
          </w:tcPr>
          <w:p w14:paraId="2FDACF70">
            <w:pPr>
              <w:widowControl/>
              <w:spacing w:line="360" w:lineRule="exact"/>
              <w:rPr>
                <w:rFonts w:ascii="宋体" w:hAnsi="宋体" w:cs="宋体"/>
                <w:b/>
                <w:color w:val="0D0D0D" w:themeColor="text1" w:themeTint="F2"/>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投标人汇总得分=该投标人的</w:t>
            </w:r>
            <w:r>
              <w:rPr>
                <w:rFonts w:hint="eastAsia" w:ascii="宋体" w:hAnsi="宋体" w:cs="宋体"/>
                <w:b/>
                <w:color w:val="0D0D0D" w:themeColor="text1" w:themeTint="F2"/>
                <w:szCs w:val="21"/>
                <w:lang w:val="en-US" w:eastAsia="zh-CN"/>
                <w14:textFill>
                  <w14:solidFill>
                    <w14:schemeClr w14:val="tx1">
                      <w14:lumMod w14:val="95000"/>
                      <w14:lumOff w14:val="5000"/>
                    </w14:schemeClr>
                  </w14:solidFill>
                </w14:textFill>
              </w:rPr>
              <w:t>价格</w:t>
            </w:r>
            <w:r>
              <w:rPr>
                <w:rFonts w:hint="eastAsia" w:ascii="宋体" w:hAnsi="宋体" w:cs="宋体"/>
                <w:b/>
                <w:color w:val="0D0D0D" w:themeColor="text1" w:themeTint="F2"/>
                <w:szCs w:val="21"/>
                <w14:textFill>
                  <w14:solidFill>
                    <w14:schemeClr w14:val="tx1">
                      <w14:lumMod w14:val="95000"/>
                      <w14:lumOff w14:val="5000"/>
                    </w14:schemeClr>
                  </w14:solidFill>
                </w14:textFill>
              </w:rPr>
              <w:t>评审得分+技术评审得分</w:t>
            </w:r>
          </w:p>
        </w:tc>
      </w:tr>
    </w:tbl>
    <w:p w14:paraId="75AA5723">
      <w:pPr>
        <w:pStyle w:val="8"/>
        <w:jc w:val="both"/>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zkxMWRkN2ZlYjE3ZGQ2N2FmZTQ3YWJhM2FkMmMifQ=="/>
  </w:docVars>
  <w:rsids>
    <w:rsidRoot w:val="00B95CF1"/>
    <w:rsid w:val="000B0A9A"/>
    <w:rsid w:val="001029D1"/>
    <w:rsid w:val="0017163E"/>
    <w:rsid w:val="00194150"/>
    <w:rsid w:val="001D1B09"/>
    <w:rsid w:val="0025077F"/>
    <w:rsid w:val="002A150A"/>
    <w:rsid w:val="00313B83"/>
    <w:rsid w:val="0033209E"/>
    <w:rsid w:val="00352513"/>
    <w:rsid w:val="004963B7"/>
    <w:rsid w:val="004A1A54"/>
    <w:rsid w:val="004D610A"/>
    <w:rsid w:val="00561ACC"/>
    <w:rsid w:val="005C179F"/>
    <w:rsid w:val="005D0B83"/>
    <w:rsid w:val="005E002E"/>
    <w:rsid w:val="005E4C97"/>
    <w:rsid w:val="006760FB"/>
    <w:rsid w:val="006F6885"/>
    <w:rsid w:val="00792572"/>
    <w:rsid w:val="007F506B"/>
    <w:rsid w:val="00AC055F"/>
    <w:rsid w:val="00B16B24"/>
    <w:rsid w:val="00B216E2"/>
    <w:rsid w:val="00B35DDE"/>
    <w:rsid w:val="00B47AFE"/>
    <w:rsid w:val="00B51566"/>
    <w:rsid w:val="00B95CF1"/>
    <w:rsid w:val="00CB1DF1"/>
    <w:rsid w:val="00CC3353"/>
    <w:rsid w:val="00D21E5A"/>
    <w:rsid w:val="00D567B3"/>
    <w:rsid w:val="00E40232"/>
    <w:rsid w:val="00E44E28"/>
    <w:rsid w:val="00E82AC0"/>
    <w:rsid w:val="00EC7220"/>
    <w:rsid w:val="00EE6302"/>
    <w:rsid w:val="00F2557C"/>
    <w:rsid w:val="01AB6660"/>
    <w:rsid w:val="026D4019"/>
    <w:rsid w:val="02C266F3"/>
    <w:rsid w:val="0339593B"/>
    <w:rsid w:val="041C3713"/>
    <w:rsid w:val="057E12A3"/>
    <w:rsid w:val="05E914F2"/>
    <w:rsid w:val="077F1302"/>
    <w:rsid w:val="085803B3"/>
    <w:rsid w:val="09755A39"/>
    <w:rsid w:val="0B096C03"/>
    <w:rsid w:val="0B13248D"/>
    <w:rsid w:val="0BF56037"/>
    <w:rsid w:val="0C701C23"/>
    <w:rsid w:val="103F5AD3"/>
    <w:rsid w:val="10F97B9F"/>
    <w:rsid w:val="12AD1419"/>
    <w:rsid w:val="131E09EE"/>
    <w:rsid w:val="141A61AC"/>
    <w:rsid w:val="1557198F"/>
    <w:rsid w:val="163A769C"/>
    <w:rsid w:val="16CB3ACB"/>
    <w:rsid w:val="16D01B7A"/>
    <w:rsid w:val="18153A05"/>
    <w:rsid w:val="19436634"/>
    <w:rsid w:val="1A275AAF"/>
    <w:rsid w:val="1D6E5DBE"/>
    <w:rsid w:val="1D7F1F56"/>
    <w:rsid w:val="1F9F71AC"/>
    <w:rsid w:val="200E6DAA"/>
    <w:rsid w:val="20B240CD"/>
    <w:rsid w:val="216D6C84"/>
    <w:rsid w:val="22490414"/>
    <w:rsid w:val="22641074"/>
    <w:rsid w:val="237878F6"/>
    <w:rsid w:val="26564061"/>
    <w:rsid w:val="288D3427"/>
    <w:rsid w:val="2AC62C21"/>
    <w:rsid w:val="2C02237E"/>
    <w:rsid w:val="2C4C35F9"/>
    <w:rsid w:val="2F1A7339"/>
    <w:rsid w:val="31BE3902"/>
    <w:rsid w:val="32F50D5D"/>
    <w:rsid w:val="331A61FF"/>
    <w:rsid w:val="33677B8F"/>
    <w:rsid w:val="339E298D"/>
    <w:rsid w:val="346325AF"/>
    <w:rsid w:val="39622040"/>
    <w:rsid w:val="3AF21641"/>
    <w:rsid w:val="3B604B66"/>
    <w:rsid w:val="3BFC4F53"/>
    <w:rsid w:val="3C00376B"/>
    <w:rsid w:val="3CB22B76"/>
    <w:rsid w:val="3D752A9A"/>
    <w:rsid w:val="3E6A036F"/>
    <w:rsid w:val="3F373C95"/>
    <w:rsid w:val="3F54056C"/>
    <w:rsid w:val="3F5B27CF"/>
    <w:rsid w:val="3FDE3832"/>
    <w:rsid w:val="40384169"/>
    <w:rsid w:val="40FA1EA6"/>
    <w:rsid w:val="413078A8"/>
    <w:rsid w:val="418B7CA8"/>
    <w:rsid w:val="420A5259"/>
    <w:rsid w:val="42CD2946"/>
    <w:rsid w:val="43385AD2"/>
    <w:rsid w:val="433A4FFB"/>
    <w:rsid w:val="43813B68"/>
    <w:rsid w:val="449B068A"/>
    <w:rsid w:val="449D1572"/>
    <w:rsid w:val="469F284C"/>
    <w:rsid w:val="46DA56D2"/>
    <w:rsid w:val="488C4630"/>
    <w:rsid w:val="48F91351"/>
    <w:rsid w:val="4A3414FD"/>
    <w:rsid w:val="4A722025"/>
    <w:rsid w:val="4B92297F"/>
    <w:rsid w:val="4BAC041E"/>
    <w:rsid w:val="4C0849EF"/>
    <w:rsid w:val="4DC00968"/>
    <w:rsid w:val="4FE7007A"/>
    <w:rsid w:val="50D17AA6"/>
    <w:rsid w:val="515C5909"/>
    <w:rsid w:val="53B04B85"/>
    <w:rsid w:val="55EC7112"/>
    <w:rsid w:val="5706258A"/>
    <w:rsid w:val="57747117"/>
    <w:rsid w:val="5911173A"/>
    <w:rsid w:val="5AC64519"/>
    <w:rsid w:val="5B5F04BE"/>
    <w:rsid w:val="5D67109A"/>
    <w:rsid w:val="5D777C9D"/>
    <w:rsid w:val="60CC79BA"/>
    <w:rsid w:val="64FD4EB5"/>
    <w:rsid w:val="65610962"/>
    <w:rsid w:val="65FC1790"/>
    <w:rsid w:val="667B3FDC"/>
    <w:rsid w:val="6A0B66BF"/>
    <w:rsid w:val="6BAF2EC6"/>
    <w:rsid w:val="6D7452C0"/>
    <w:rsid w:val="6FD31242"/>
    <w:rsid w:val="70CD63A4"/>
    <w:rsid w:val="713C29B5"/>
    <w:rsid w:val="717B5CC5"/>
    <w:rsid w:val="71E42402"/>
    <w:rsid w:val="745E5245"/>
    <w:rsid w:val="785901FD"/>
    <w:rsid w:val="7BB0282A"/>
    <w:rsid w:val="7CEB283C"/>
    <w:rsid w:val="7EF5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Date"/>
    <w:basedOn w:val="1"/>
    <w:next w:val="1"/>
    <w:link w:val="15"/>
    <w:autoRedefine/>
    <w:semiHidden/>
    <w:unhideWhenUsed/>
    <w:qFormat/>
    <w:uiPriority w:val="99"/>
    <w:pPr>
      <w:ind w:left="100" w:leftChars="2500"/>
    </w:p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autoRedefine/>
    <w:qFormat/>
    <w:uiPriority w:val="1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22"/>
    <w:rPr>
      <w:b/>
    </w:rPr>
  </w:style>
  <w:style w:type="character" w:customStyle="1" w:styleId="12">
    <w:name w:val="标题 1 Char"/>
    <w:basedOn w:val="10"/>
    <w:link w:val="2"/>
    <w:autoRedefine/>
    <w:qFormat/>
    <w:uiPriority w:val="9"/>
    <w:rPr>
      <w:rFonts w:ascii="宋体" w:hAnsi="宋体" w:eastAsia="宋体" w:cs="宋体"/>
      <w:b/>
      <w:bCs/>
      <w:kern w:val="36"/>
      <w:sz w:val="48"/>
      <w:szCs w:val="48"/>
    </w:rPr>
  </w:style>
  <w:style w:type="character" w:customStyle="1" w:styleId="13">
    <w:name w:val="页眉 Char"/>
    <w:basedOn w:val="10"/>
    <w:link w:val="6"/>
    <w:autoRedefine/>
    <w:semiHidden/>
    <w:qFormat/>
    <w:uiPriority w:val="99"/>
    <w:rPr>
      <w:sz w:val="18"/>
      <w:szCs w:val="18"/>
    </w:rPr>
  </w:style>
  <w:style w:type="character" w:customStyle="1" w:styleId="14">
    <w:name w:val="页脚 Char"/>
    <w:basedOn w:val="10"/>
    <w:link w:val="5"/>
    <w:autoRedefine/>
    <w:semiHidden/>
    <w:qFormat/>
    <w:uiPriority w:val="99"/>
    <w:rPr>
      <w:sz w:val="18"/>
      <w:szCs w:val="18"/>
    </w:rPr>
  </w:style>
  <w:style w:type="character" w:customStyle="1" w:styleId="15">
    <w:name w:val="日期 Char"/>
    <w:basedOn w:val="10"/>
    <w:link w:val="4"/>
    <w:autoRedefine/>
    <w:semiHidden/>
    <w:qFormat/>
    <w:uiPriority w:val="99"/>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1058</Words>
  <Characters>1081</Characters>
  <Lines>18</Lines>
  <Paragraphs>5</Paragraphs>
  <TotalTime>12</TotalTime>
  <ScaleCrop>false</ScaleCrop>
  <LinksUpToDate>false</LinksUpToDate>
  <CharactersWithSpaces>1081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2021-09-23T10:33:00Z</dcterms:created>
  <dc:creator>PC</dc:creator>
  <cp:lastModifiedBy>和而不同</cp:lastModifiedBy>
  <dcterms:modified xsi:type="dcterms:W3CDTF">2025-09-16T04:43:14Z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333FFABB3AAE4AD9995B823A4D8A3C3C_13</vt:lpwstr>
  </property>
  <property fmtid="{D5CDD505-2E9C-101B-9397-08002B2CF9AE}" pid="4" name="KSOTemplateDocerSaveRecord">
    <vt:lpwstr>eyJoZGlkIjoiMjEyYjY1M2YxMDZmNWQ0ZmRhYzk4NjBiNDE3ZmMxMDIiLCJ1c2VySWQiOiI0NjQ4OTExNTgifQ==</vt:lpwstr>
  </property>
</Properties>
</file>