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CAD0">
      <w:pPr>
        <w:adjustRightInd w:val="0"/>
        <w:spacing w:line="390" w:lineRule="exact"/>
        <w:ind w:firstLine="422"/>
        <w:rPr>
          <w:rFonts w:hint="eastAsia" w:ascii="宋体" w:hAnsi="宋体" w:cs="宋体"/>
          <w:b/>
          <w:color w:val="auto"/>
          <w:kern w:val="0"/>
          <w:szCs w:val="21"/>
        </w:rPr>
      </w:pPr>
      <w:r>
        <w:rPr>
          <w:rFonts w:hint="eastAsia" w:ascii="宋体" w:hAnsi="宋体" w:cs="宋体"/>
          <w:b/>
          <w:color w:val="auto"/>
          <w:kern w:val="0"/>
          <w:szCs w:val="21"/>
        </w:rPr>
        <w:t>1、采购需求一览表</w:t>
      </w:r>
    </w:p>
    <w:tbl>
      <w:tblPr>
        <w:tblStyle w:val="2"/>
        <w:tblpPr w:leftFromText="180" w:rightFromText="180" w:vertAnchor="text" w:tblpXSpec="center" w:tblpY="1"/>
        <w:tblOverlap w:val="never"/>
        <w:tblW w:w="46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83"/>
        <w:gridCol w:w="855"/>
        <w:gridCol w:w="5323"/>
        <w:gridCol w:w="732"/>
        <w:gridCol w:w="490"/>
      </w:tblGrid>
      <w:tr w14:paraId="6E26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7" w:type="pct"/>
            <w:vAlign w:val="center"/>
          </w:tcPr>
          <w:p w14:paraId="1BBA20D0">
            <w:pPr>
              <w:widowControl/>
              <w:spacing w:line="340" w:lineRule="exact"/>
              <w:jc w:val="center"/>
              <w:rPr>
                <w:rFonts w:ascii="宋体" w:hAnsi="宋体" w:cs="宋体"/>
                <w:b/>
                <w:bCs/>
                <w:color w:val="auto"/>
                <w:kern w:val="0"/>
                <w:sz w:val="18"/>
                <w:szCs w:val="18"/>
              </w:rPr>
            </w:pPr>
            <w:bookmarkStart w:id="0" w:name="_Hlk213315773"/>
            <w:r>
              <w:rPr>
                <w:rFonts w:hint="eastAsia" w:ascii="宋体" w:hAnsi="宋体" w:cs="宋体"/>
                <w:b/>
                <w:bCs/>
                <w:color w:val="auto"/>
                <w:kern w:val="0"/>
                <w:sz w:val="18"/>
                <w:szCs w:val="18"/>
              </w:rPr>
              <w:t>序号</w:t>
            </w:r>
          </w:p>
        </w:tc>
        <w:tc>
          <w:tcPr>
            <w:tcW w:w="542" w:type="pct"/>
            <w:vAlign w:val="center"/>
          </w:tcPr>
          <w:p w14:paraId="5C3824C9">
            <w:pPr>
              <w:widowControl/>
              <w:spacing w:line="3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项目名称</w:t>
            </w:r>
          </w:p>
        </w:tc>
        <w:tc>
          <w:tcPr>
            <w:tcW w:w="3376" w:type="pct"/>
            <w:vAlign w:val="center"/>
          </w:tcPr>
          <w:p w14:paraId="6DD535AC">
            <w:pPr>
              <w:widowControl/>
              <w:spacing w:line="3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技术参数及其性能（配置）要求</w:t>
            </w:r>
          </w:p>
        </w:tc>
        <w:tc>
          <w:tcPr>
            <w:tcW w:w="464" w:type="pct"/>
            <w:vAlign w:val="center"/>
          </w:tcPr>
          <w:p w14:paraId="04EF6116">
            <w:pPr>
              <w:widowControl/>
              <w:spacing w:line="3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数量</w:t>
            </w:r>
          </w:p>
        </w:tc>
        <w:tc>
          <w:tcPr>
            <w:tcW w:w="311" w:type="pct"/>
            <w:vAlign w:val="center"/>
          </w:tcPr>
          <w:p w14:paraId="67A07DB4">
            <w:pPr>
              <w:widowControl/>
              <w:spacing w:line="3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r>
      <w:tr w14:paraId="0B5A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atLeast"/>
        </w:trPr>
        <w:tc>
          <w:tcPr>
            <w:tcW w:w="307" w:type="pct"/>
            <w:vAlign w:val="center"/>
          </w:tcPr>
          <w:p w14:paraId="0DBC857C">
            <w:pPr>
              <w:widowControl/>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542" w:type="pct"/>
            <w:vAlign w:val="center"/>
          </w:tcPr>
          <w:p w14:paraId="56228657">
            <w:pPr>
              <w:jc w:val="center"/>
              <w:rPr>
                <w:rFonts w:ascii="新宋体" w:hAnsi="新宋体" w:eastAsia="新宋体" w:cs="宋体"/>
                <w:color w:val="auto"/>
                <w:sz w:val="18"/>
                <w:szCs w:val="18"/>
              </w:rPr>
            </w:pPr>
            <w:r>
              <w:rPr>
                <w:rFonts w:hint="eastAsia" w:ascii="新宋体" w:hAnsi="新宋体" w:eastAsia="新宋体"/>
                <w:color w:val="auto"/>
                <w:sz w:val="18"/>
                <w:szCs w:val="18"/>
              </w:rPr>
              <w:t>灯具及线路拆除</w:t>
            </w:r>
          </w:p>
        </w:tc>
        <w:tc>
          <w:tcPr>
            <w:tcW w:w="3376" w:type="pct"/>
            <w:vAlign w:val="center"/>
          </w:tcPr>
          <w:p w14:paraId="62C747EC">
            <w:pPr>
              <w:rPr>
                <w:rFonts w:ascii="新宋体" w:hAnsi="新宋体" w:eastAsia="新宋体" w:cs="宋体"/>
                <w:color w:val="auto"/>
                <w:sz w:val="18"/>
                <w:szCs w:val="18"/>
              </w:rPr>
            </w:pPr>
            <w:r>
              <w:rPr>
                <w:rFonts w:hint="eastAsia" w:ascii="新宋体" w:hAnsi="新宋体" w:eastAsia="新宋体"/>
                <w:color w:val="auto"/>
                <w:sz w:val="18"/>
                <w:szCs w:val="18"/>
              </w:rPr>
              <w:t>拆除明细：原教室吊顶上方灯具、风扇、线路及设备</w:t>
            </w:r>
          </w:p>
        </w:tc>
        <w:tc>
          <w:tcPr>
            <w:tcW w:w="464" w:type="pct"/>
            <w:vAlign w:val="center"/>
          </w:tcPr>
          <w:p w14:paraId="4D7F7A3B">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6006076E">
            <w:pPr>
              <w:jc w:val="center"/>
              <w:rPr>
                <w:rFonts w:ascii="新宋体" w:hAnsi="新宋体" w:eastAsia="新宋体" w:cs="宋体"/>
                <w:color w:val="auto"/>
                <w:sz w:val="18"/>
                <w:szCs w:val="18"/>
              </w:rPr>
            </w:pPr>
            <w:bookmarkStart w:id="1" w:name="OLE_LINK3"/>
            <w:r>
              <w:rPr>
                <w:rFonts w:hint="eastAsia" w:ascii="新宋体" w:hAnsi="新宋体" w:eastAsia="新宋体"/>
                <w:color w:val="auto"/>
                <w:sz w:val="18"/>
                <w:szCs w:val="18"/>
              </w:rPr>
              <w:t>平方米</w:t>
            </w:r>
            <w:bookmarkEnd w:id="1"/>
          </w:p>
        </w:tc>
      </w:tr>
      <w:bookmarkEnd w:id="0"/>
      <w:tr w14:paraId="717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trPr>
        <w:tc>
          <w:tcPr>
            <w:tcW w:w="307" w:type="pct"/>
            <w:vAlign w:val="center"/>
          </w:tcPr>
          <w:p w14:paraId="66D1282E">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42" w:type="pct"/>
            <w:vAlign w:val="center"/>
          </w:tcPr>
          <w:p w14:paraId="7A5C2DF4">
            <w:pPr>
              <w:jc w:val="center"/>
              <w:rPr>
                <w:rFonts w:ascii="新宋体" w:hAnsi="新宋体" w:eastAsia="新宋体" w:cs="宋体"/>
                <w:color w:val="auto"/>
                <w:sz w:val="18"/>
                <w:szCs w:val="18"/>
              </w:rPr>
            </w:pPr>
            <w:r>
              <w:rPr>
                <w:rFonts w:hint="eastAsia" w:ascii="新宋体" w:hAnsi="新宋体" w:eastAsia="新宋体"/>
                <w:color w:val="auto"/>
                <w:sz w:val="18"/>
                <w:szCs w:val="18"/>
              </w:rPr>
              <w:t>粉刷石膏/找平灰膏找平（墙/顶面）</w:t>
            </w:r>
          </w:p>
        </w:tc>
        <w:tc>
          <w:tcPr>
            <w:tcW w:w="3376" w:type="pct"/>
            <w:vAlign w:val="center"/>
          </w:tcPr>
          <w:p w14:paraId="6BC5159D">
            <w:pPr>
              <w:rPr>
                <w:rFonts w:ascii="新宋体" w:hAnsi="新宋体" w:eastAsia="新宋体" w:cs="宋体"/>
                <w:color w:val="auto"/>
                <w:sz w:val="18"/>
                <w:szCs w:val="18"/>
              </w:rPr>
            </w:pPr>
            <w:r>
              <w:rPr>
                <w:rFonts w:hint="eastAsia" w:ascii="新宋体" w:hAnsi="新宋体" w:eastAsia="新宋体"/>
                <w:color w:val="auto"/>
                <w:sz w:val="18"/>
                <w:szCs w:val="18"/>
              </w:rPr>
              <w:t>1、清理墙面杂物</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2、使用环保E0级龙牌石膏填补孔洞或阴阳角修直</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3、刷三道环保E0级龙牌腻子粉找平顶面及墙面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4、打磨两次顶面及墙面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5、刷两道立邦二合一系列环保无异味乳胶漆</w:t>
            </w:r>
          </w:p>
        </w:tc>
        <w:tc>
          <w:tcPr>
            <w:tcW w:w="464" w:type="pct"/>
            <w:vAlign w:val="center"/>
          </w:tcPr>
          <w:p w14:paraId="10006B4A">
            <w:pPr>
              <w:jc w:val="center"/>
              <w:rPr>
                <w:rFonts w:ascii="新宋体" w:hAnsi="新宋体" w:eastAsia="新宋体" w:cs="宋体"/>
                <w:color w:val="auto"/>
                <w:sz w:val="18"/>
                <w:szCs w:val="18"/>
              </w:rPr>
            </w:pPr>
            <w:r>
              <w:rPr>
                <w:rFonts w:hint="eastAsia" w:ascii="新宋体" w:hAnsi="新宋体" w:eastAsia="新宋体"/>
                <w:color w:val="auto"/>
                <w:sz w:val="18"/>
                <w:szCs w:val="18"/>
              </w:rPr>
              <w:t>500</w:t>
            </w:r>
          </w:p>
        </w:tc>
        <w:tc>
          <w:tcPr>
            <w:tcW w:w="311" w:type="pct"/>
            <w:vAlign w:val="center"/>
          </w:tcPr>
          <w:p w14:paraId="000C8AA3">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6460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trPr>
        <w:tc>
          <w:tcPr>
            <w:tcW w:w="307" w:type="pct"/>
            <w:vAlign w:val="center"/>
          </w:tcPr>
          <w:p w14:paraId="6F7E94E2">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42" w:type="pct"/>
            <w:vAlign w:val="center"/>
          </w:tcPr>
          <w:p w14:paraId="0E3EDA3E">
            <w:pPr>
              <w:jc w:val="center"/>
              <w:rPr>
                <w:rFonts w:ascii="新宋体" w:hAnsi="新宋体" w:eastAsia="新宋体" w:cs="宋体"/>
                <w:color w:val="auto"/>
                <w:sz w:val="18"/>
                <w:szCs w:val="18"/>
              </w:rPr>
            </w:pPr>
            <w:r>
              <w:rPr>
                <w:rFonts w:hint="eastAsia" w:ascii="新宋体" w:hAnsi="新宋体" w:eastAsia="新宋体"/>
                <w:color w:val="auto"/>
                <w:sz w:val="18"/>
                <w:szCs w:val="18"/>
              </w:rPr>
              <w:t>一级造型吊顶</w:t>
            </w:r>
          </w:p>
        </w:tc>
        <w:tc>
          <w:tcPr>
            <w:tcW w:w="3376" w:type="pct"/>
            <w:vAlign w:val="center"/>
          </w:tcPr>
          <w:p w14:paraId="33F44C26">
            <w:pPr>
              <w:rPr>
                <w:rFonts w:ascii="新宋体" w:hAnsi="新宋体" w:eastAsia="新宋体" w:cs="宋体"/>
                <w:color w:val="auto"/>
                <w:sz w:val="18"/>
                <w:szCs w:val="18"/>
              </w:rPr>
            </w:pPr>
            <w:r>
              <w:rPr>
                <w:rFonts w:hint="eastAsia" w:ascii="新宋体" w:hAnsi="新宋体" w:eastAsia="新宋体"/>
                <w:color w:val="auto"/>
                <w:sz w:val="18"/>
                <w:szCs w:val="18"/>
              </w:rPr>
              <w:t>1、使用直径8mm螺纹吊杆为吊顶主承重</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2、使用1.5mm厚的轻钢龙骨找平顶面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3、使用泰山牌防火阻燃，板搭建吊顶基础平面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4、使用泰山牌环保石膏板找平整体顶面</w:t>
            </w:r>
          </w:p>
        </w:tc>
        <w:tc>
          <w:tcPr>
            <w:tcW w:w="464" w:type="pct"/>
            <w:vAlign w:val="center"/>
          </w:tcPr>
          <w:p w14:paraId="14D3CA22">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05DF30B7">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7E2C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trPr>
        <w:tc>
          <w:tcPr>
            <w:tcW w:w="307" w:type="pct"/>
            <w:vAlign w:val="center"/>
          </w:tcPr>
          <w:p w14:paraId="7595025C">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42" w:type="pct"/>
            <w:vAlign w:val="center"/>
          </w:tcPr>
          <w:p w14:paraId="4D7F9997">
            <w:pPr>
              <w:jc w:val="center"/>
              <w:rPr>
                <w:rFonts w:ascii="新宋体" w:hAnsi="新宋体" w:eastAsia="新宋体" w:cs="宋体"/>
                <w:color w:val="auto"/>
                <w:sz w:val="18"/>
                <w:szCs w:val="18"/>
              </w:rPr>
            </w:pPr>
            <w:r>
              <w:rPr>
                <w:rFonts w:hint="eastAsia" w:ascii="新宋体" w:hAnsi="新宋体" w:eastAsia="新宋体"/>
                <w:color w:val="auto"/>
                <w:sz w:val="18"/>
                <w:szCs w:val="18"/>
              </w:rPr>
              <w:t>二级造型吊顶</w:t>
            </w:r>
          </w:p>
        </w:tc>
        <w:tc>
          <w:tcPr>
            <w:tcW w:w="3376" w:type="pct"/>
            <w:vAlign w:val="center"/>
          </w:tcPr>
          <w:p w14:paraId="41AF8186">
            <w:pPr>
              <w:rPr>
                <w:rFonts w:ascii="新宋体" w:hAnsi="新宋体" w:eastAsia="新宋体" w:cs="宋体"/>
                <w:color w:val="auto"/>
                <w:sz w:val="18"/>
                <w:szCs w:val="18"/>
              </w:rPr>
            </w:pPr>
            <w:r>
              <w:rPr>
                <w:rFonts w:hint="eastAsia" w:ascii="新宋体" w:hAnsi="新宋体" w:eastAsia="新宋体"/>
                <w:color w:val="auto"/>
                <w:sz w:val="18"/>
                <w:szCs w:val="18"/>
              </w:rPr>
              <w:t>1、使用直径8mm螺纹吊杆为吊顶主承重</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2、使用1.5mm厚的轻钢龙骨找平顶面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3、使用9mm厚泰山牌防火阻燃板搭建吊顶基础平面</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4、使用泰山牌环保石膏板找平整体顶面</w:t>
            </w:r>
          </w:p>
        </w:tc>
        <w:tc>
          <w:tcPr>
            <w:tcW w:w="464" w:type="pct"/>
            <w:vAlign w:val="center"/>
          </w:tcPr>
          <w:p w14:paraId="7B4365CB">
            <w:pPr>
              <w:jc w:val="center"/>
              <w:rPr>
                <w:rFonts w:ascii="新宋体" w:hAnsi="新宋体" w:eastAsia="新宋体" w:cs="宋体"/>
                <w:color w:val="auto"/>
                <w:sz w:val="18"/>
                <w:szCs w:val="18"/>
              </w:rPr>
            </w:pPr>
            <w:r>
              <w:rPr>
                <w:rFonts w:hint="eastAsia" w:ascii="新宋体" w:hAnsi="新宋体" w:eastAsia="新宋体"/>
                <w:color w:val="auto"/>
                <w:sz w:val="18"/>
                <w:szCs w:val="18"/>
              </w:rPr>
              <w:t>100</w:t>
            </w:r>
          </w:p>
        </w:tc>
        <w:tc>
          <w:tcPr>
            <w:tcW w:w="311" w:type="pct"/>
            <w:vAlign w:val="center"/>
          </w:tcPr>
          <w:p w14:paraId="6B70E014">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50B8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7" w:type="pct"/>
            <w:vAlign w:val="center"/>
          </w:tcPr>
          <w:p w14:paraId="18179AE6">
            <w:pPr>
              <w:widowControl/>
              <w:jc w:val="center"/>
              <w:rPr>
                <w:rFonts w:ascii="宋体" w:hAnsi="宋体" w:cs="宋体"/>
                <w:color w:val="auto"/>
                <w:kern w:val="0"/>
                <w:sz w:val="18"/>
                <w:szCs w:val="18"/>
              </w:rPr>
            </w:pPr>
            <w:r>
              <w:rPr>
                <w:rFonts w:hint="eastAsia" w:ascii="宋体" w:hAnsi="宋体" w:cs="宋体"/>
                <w:color w:val="auto"/>
                <w:kern w:val="0"/>
                <w:sz w:val="18"/>
                <w:szCs w:val="18"/>
              </w:rPr>
              <w:t>5</w:t>
            </w:r>
          </w:p>
        </w:tc>
        <w:tc>
          <w:tcPr>
            <w:tcW w:w="542" w:type="pct"/>
            <w:vAlign w:val="center"/>
          </w:tcPr>
          <w:p w14:paraId="215D81EF">
            <w:pPr>
              <w:jc w:val="center"/>
              <w:rPr>
                <w:rFonts w:ascii="新宋体" w:hAnsi="新宋体" w:eastAsia="新宋体" w:cs="宋体"/>
                <w:color w:val="auto"/>
                <w:sz w:val="18"/>
                <w:szCs w:val="18"/>
              </w:rPr>
            </w:pPr>
            <w:r>
              <w:rPr>
                <w:rFonts w:hint="eastAsia" w:ascii="新宋体" w:hAnsi="新宋体" w:eastAsia="新宋体"/>
                <w:color w:val="auto"/>
                <w:sz w:val="18"/>
                <w:szCs w:val="18"/>
              </w:rPr>
              <w:t>顶面造型</w:t>
            </w:r>
          </w:p>
        </w:tc>
        <w:tc>
          <w:tcPr>
            <w:tcW w:w="3376" w:type="pct"/>
            <w:vAlign w:val="center"/>
          </w:tcPr>
          <w:p w14:paraId="43A26E1E">
            <w:pPr>
              <w:rPr>
                <w:rFonts w:ascii="新宋体" w:hAnsi="新宋体" w:eastAsia="新宋体" w:cs="宋体"/>
                <w:color w:val="auto"/>
                <w:sz w:val="18"/>
                <w:szCs w:val="18"/>
              </w:rPr>
            </w:pPr>
            <w:r>
              <w:rPr>
                <w:rFonts w:hint="eastAsia" w:ascii="新宋体" w:hAnsi="新宋体" w:eastAsia="新宋体"/>
                <w:color w:val="auto"/>
                <w:sz w:val="18"/>
                <w:szCs w:val="18"/>
              </w:rPr>
              <w:t>1、使用1.5mm厚的轻钢龙骨搭建顶面造型基础</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2、使用9mm厚泰山牌防火阻燃板搭建吊顶造型</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3、使用泰山牌环保石膏板搭建吊顶造型</w:t>
            </w:r>
          </w:p>
        </w:tc>
        <w:tc>
          <w:tcPr>
            <w:tcW w:w="464" w:type="pct"/>
            <w:vAlign w:val="center"/>
          </w:tcPr>
          <w:p w14:paraId="1D46C5BE">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4D5C52F8">
            <w:pPr>
              <w:jc w:val="center"/>
              <w:rPr>
                <w:rFonts w:ascii="新宋体" w:hAnsi="新宋体" w:eastAsia="新宋体" w:cs="宋体"/>
                <w:color w:val="auto"/>
                <w:sz w:val="18"/>
                <w:szCs w:val="18"/>
              </w:rPr>
            </w:pPr>
            <w:bookmarkStart w:id="2" w:name="OLE_LINK5"/>
            <w:bookmarkStart w:id="3" w:name="OLE_LINK6"/>
            <w:r>
              <w:rPr>
                <w:rFonts w:hint="eastAsia" w:ascii="新宋体" w:hAnsi="新宋体" w:eastAsia="新宋体"/>
                <w:color w:val="auto"/>
                <w:kern w:val="0"/>
                <w:sz w:val="18"/>
                <w:szCs w:val="18"/>
              </w:rPr>
              <w:t>平方米</w:t>
            </w:r>
            <w:bookmarkEnd w:id="2"/>
            <w:bookmarkEnd w:id="3"/>
          </w:p>
        </w:tc>
      </w:tr>
      <w:tr w14:paraId="4939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trPr>
        <w:tc>
          <w:tcPr>
            <w:tcW w:w="307" w:type="pct"/>
            <w:vAlign w:val="center"/>
          </w:tcPr>
          <w:p w14:paraId="209105ED">
            <w:pPr>
              <w:widowControl/>
              <w:jc w:val="center"/>
              <w:rPr>
                <w:rFonts w:ascii="宋体" w:hAnsi="宋体" w:cs="宋体"/>
                <w:color w:val="auto"/>
                <w:kern w:val="0"/>
                <w:sz w:val="18"/>
                <w:szCs w:val="18"/>
              </w:rPr>
            </w:pPr>
            <w:r>
              <w:rPr>
                <w:rFonts w:hint="eastAsia" w:ascii="宋体" w:hAnsi="宋体" w:cs="宋体"/>
                <w:color w:val="auto"/>
                <w:kern w:val="0"/>
                <w:sz w:val="18"/>
                <w:szCs w:val="18"/>
              </w:rPr>
              <w:t>6</w:t>
            </w:r>
          </w:p>
        </w:tc>
        <w:tc>
          <w:tcPr>
            <w:tcW w:w="542" w:type="pct"/>
            <w:vAlign w:val="center"/>
          </w:tcPr>
          <w:p w14:paraId="12ADB534">
            <w:pPr>
              <w:jc w:val="center"/>
              <w:rPr>
                <w:rFonts w:ascii="新宋体" w:hAnsi="新宋体" w:eastAsia="新宋体" w:cs="宋体"/>
                <w:color w:val="auto"/>
                <w:sz w:val="18"/>
                <w:szCs w:val="18"/>
              </w:rPr>
            </w:pPr>
            <w:r>
              <w:rPr>
                <w:rFonts w:hint="eastAsia" w:ascii="新宋体" w:hAnsi="新宋体" w:eastAsia="新宋体"/>
                <w:color w:val="auto"/>
                <w:sz w:val="18"/>
                <w:szCs w:val="18"/>
              </w:rPr>
              <w:t>墙面造型</w:t>
            </w:r>
          </w:p>
        </w:tc>
        <w:tc>
          <w:tcPr>
            <w:tcW w:w="3376" w:type="pct"/>
            <w:vAlign w:val="center"/>
          </w:tcPr>
          <w:p w14:paraId="6853049F">
            <w:pPr>
              <w:jc w:val="left"/>
              <w:rPr>
                <w:rFonts w:ascii="新宋体" w:hAnsi="新宋体" w:eastAsia="新宋体" w:cs="宋体"/>
                <w:color w:val="auto"/>
                <w:sz w:val="18"/>
                <w:szCs w:val="18"/>
              </w:rPr>
            </w:pPr>
            <w:r>
              <w:rPr>
                <w:rFonts w:hint="eastAsia" w:ascii="新宋体" w:hAnsi="新宋体" w:eastAsia="新宋体"/>
                <w:color w:val="auto"/>
                <w:sz w:val="18"/>
                <w:szCs w:val="18"/>
              </w:rPr>
              <w:t>1、用尺寸为30*50mm方条打底，9mm厚泰山牌防火阻燃板、石膏板搭建造型</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2、造型使用高光泽度、高耐磨PVC UV喷绘造型图案</w:t>
            </w:r>
          </w:p>
        </w:tc>
        <w:tc>
          <w:tcPr>
            <w:tcW w:w="464" w:type="pct"/>
            <w:vAlign w:val="center"/>
          </w:tcPr>
          <w:p w14:paraId="106E4EA5">
            <w:pPr>
              <w:jc w:val="center"/>
              <w:rPr>
                <w:rFonts w:ascii="新宋体" w:hAnsi="新宋体" w:eastAsia="新宋体" w:cs="宋体"/>
                <w:color w:val="auto"/>
                <w:sz w:val="18"/>
                <w:szCs w:val="18"/>
              </w:rPr>
            </w:pPr>
            <w:r>
              <w:rPr>
                <w:rFonts w:hint="eastAsia" w:ascii="新宋体" w:hAnsi="新宋体" w:eastAsia="新宋体"/>
                <w:color w:val="auto"/>
                <w:sz w:val="18"/>
                <w:szCs w:val="18"/>
              </w:rPr>
              <w:t>100</w:t>
            </w:r>
          </w:p>
        </w:tc>
        <w:tc>
          <w:tcPr>
            <w:tcW w:w="311" w:type="pct"/>
            <w:vAlign w:val="center"/>
          </w:tcPr>
          <w:p w14:paraId="6852E9B8">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3A16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307" w:type="pct"/>
            <w:vAlign w:val="center"/>
          </w:tcPr>
          <w:p w14:paraId="3781EBB0">
            <w:pPr>
              <w:widowControl/>
              <w:jc w:val="center"/>
              <w:rPr>
                <w:rFonts w:ascii="宋体" w:hAnsi="宋体" w:cs="宋体"/>
                <w:color w:val="auto"/>
                <w:kern w:val="0"/>
                <w:sz w:val="18"/>
                <w:szCs w:val="18"/>
              </w:rPr>
            </w:pPr>
            <w:r>
              <w:rPr>
                <w:rFonts w:hint="eastAsia" w:ascii="宋体" w:hAnsi="宋体" w:cs="宋体"/>
                <w:color w:val="auto"/>
                <w:kern w:val="0"/>
                <w:sz w:val="18"/>
                <w:szCs w:val="18"/>
              </w:rPr>
              <w:t>7</w:t>
            </w:r>
          </w:p>
        </w:tc>
        <w:tc>
          <w:tcPr>
            <w:tcW w:w="542" w:type="pct"/>
            <w:vAlign w:val="center"/>
          </w:tcPr>
          <w:p w14:paraId="77CBF38F">
            <w:pPr>
              <w:jc w:val="center"/>
              <w:rPr>
                <w:rFonts w:ascii="新宋体" w:hAnsi="新宋体" w:eastAsia="新宋体" w:cs="宋体"/>
                <w:color w:val="auto"/>
                <w:sz w:val="18"/>
                <w:szCs w:val="18"/>
              </w:rPr>
            </w:pPr>
            <w:r>
              <w:rPr>
                <w:rFonts w:hint="eastAsia" w:ascii="新宋体" w:hAnsi="新宋体" w:eastAsia="新宋体"/>
                <w:color w:val="auto"/>
                <w:sz w:val="18"/>
                <w:szCs w:val="18"/>
              </w:rPr>
              <w:t>地面处理</w:t>
            </w:r>
          </w:p>
        </w:tc>
        <w:tc>
          <w:tcPr>
            <w:tcW w:w="3376" w:type="pct"/>
            <w:vAlign w:val="center"/>
          </w:tcPr>
          <w:p w14:paraId="0565C08F">
            <w:pPr>
              <w:rPr>
                <w:rFonts w:ascii="新宋体" w:hAnsi="新宋体" w:eastAsia="新宋体" w:cs="宋体"/>
                <w:color w:val="auto"/>
                <w:sz w:val="18"/>
                <w:szCs w:val="18"/>
              </w:rPr>
            </w:pPr>
            <w:r>
              <w:rPr>
                <w:rFonts w:hint="eastAsia" w:ascii="新宋体" w:hAnsi="新宋体" w:eastAsia="新宋体"/>
                <w:color w:val="auto"/>
                <w:sz w:val="18"/>
                <w:szCs w:val="18"/>
              </w:rPr>
              <w:t>1、清洁地面，修补空洞及裂缝，用打磨机处理水磨石表面，增加粗糙度</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2、使用高强度环保自流平水泥找平教室地面</w:t>
            </w:r>
          </w:p>
        </w:tc>
        <w:tc>
          <w:tcPr>
            <w:tcW w:w="464" w:type="pct"/>
            <w:vAlign w:val="center"/>
          </w:tcPr>
          <w:p w14:paraId="61794832">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1F3D9ECB">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7E1B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trPr>
        <w:tc>
          <w:tcPr>
            <w:tcW w:w="307" w:type="pct"/>
            <w:vAlign w:val="center"/>
          </w:tcPr>
          <w:p w14:paraId="3C79BEC2">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42" w:type="pct"/>
            <w:vAlign w:val="center"/>
          </w:tcPr>
          <w:p w14:paraId="18744FEF">
            <w:pPr>
              <w:jc w:val="center"/>
              <w:rPr>
                <w:rFonts w:ascii="新宋体" w:hAnsi="新宋体" w:eastAsia="新宋体" w:cs="宋体"/>
                <w:color w:val="auto"/>
                <w:sz w:val="18"/>
                <w:szCs w:val="18"/>
              </w:rPr>
            </w:pPr>
            <w:r>
              <w:rPr>
                <w:rFonts w:hint="eastAsia" w:ascii="新宋体" w:hAnsi="新宋体" w:eastAsia="新宋体"/>
                <w:color w:val="auto"/>
                <w:sz w:val="18"/>
                <w:szCs w:val="18"/>
              </w:rPr>
              <w:t>同质透心地胶</w:t>
            </w:r>
          </w:p>
        </w:tc>
        <w:tc>
          <w:tcPr>
            <w:tcW w:w="3376" w:type="pct"/>
            <w:vAlign w:val="center"/>
          </w:tcPr>
          <w:p w14:paraId="3FC36A89">
            <w:pPr>
              <w:rPr>
                <w:rFonts w:ascii="新宋体" w:hAnsi="新宋体" w:eastAsia="新宋体" w:cs="宋体"/>
                <w:color w:val="auto"/>
                <w:sz w:val="18"/>
                <w:szCs w:val="18"/>
              </w:rPr>
            </w:pPr>
            <w:r>
              <w:rPr>
                <w:rFonts w:hint="eastAsia" w:ascii="新宋体" w:hAnsi="新宋体" w:eastAsia="新宋体"/>
                <w:color w:val="auto"/>
                <w:sz w:val="18"/>
                <w:szCs w:val="18"/>
              </w:rPr>
              <w:t>实训室专用防滑地胶，厚度为3mm同质透心地胶，耐磨级别达到T级，防滑等级≥R9级</w:t>
            </w:r>
          </w:p>
        </w:tc>
        <w:tc>
          <w:tcPr>
            <w:tcW w:w="464" w:type="pct"/>
            <w:vAlign w:val="center"/>
          </w:tcPr>
          <w:p w14:paraId="031A823A">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vAlign w:val="center"/>
          </w:tcPr>
          <w:p w14:paraId="7BC75139">
            <w:pPr>
              <w:jc w:val="center"/>
              <w:rPr>
                <w:rFonts w:ascii="新宋体" w:hAnsi="新宋体" w:eastAsia="新宋体" w:cs="宋体"/>
                <w:color w:val="auto"/>
                <w:sz w:val="18"/>
                <w:szCs w:val="18"/>
              </w:rPr>
            </w:pPr>
            <w:bookmarkStart w:id="4" w:name="OLE_LINK9"/>
            <w:r>
              <w:rPr>
                <w:rFonts w:hint="eastAsia" w:ascii="新宋体" w:hAnsi="新宋体" w:eastAsia="新宋体"/>
                <w:color w:val="auto"/>
                <w:kern w:val="0"/>
                <w:sz w:val="18"/>
                <w:szCs w:val="18"/>
              </w:rPr>
              <w:t>平方米</w:t>
            </w:r>
            <w:bookmarkEnd w:id="4"/>
          </w:p>
        </w:tc>
      </w:tr>
      <w:tr w14:paraId="2A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trPr>
        <w:tc>
          <w:tcPr>
            <w:tcW w:w="307" w:type="pct"/>
            <w:vAlign w:val="center"/>
          </w:tcPr>
          <w:p w14:paraId="7B229551">
            <w:pPr>
              <w:widowControl/>
              <w:jc w:val="center"/>
              <w:rPr>
                <w:rFonts w:ascii="宋体" w:hAnsi="宋体" w:cs="宋体"/>
                <w:color w:val="auto"/>
                <w:kern w:val="0"/>
                <w:sz w:val="18"/>
                <w:szCs w:val="18"/>
              </w:rPr>
            </w:pPr>
            <w:r>
              <w:rPr>
                <w:rFonts w:hint="eastAsia" w:ascii="宋体" w:hAnsi="宋体" w:cs="宋体"/>
                <w:color w:val="auto"/>
                <w:kern w:val="0"/>
                <w:sz w:val="18"/>
                <w:szCs w:val="18"/>
              </w:rPr>
              <w:t>9</w:t>
            </w:r>
          </w:p>
        </w:tc>
        <w:tc>
          <w:tcPr>
            <w:tcW w:w="542" w:type="pct"/>
            <w:vAlign w:val="center"/>
          </w:tcPr>
          <w:p w14:paraId="06FDB025">
            <w:pPr>
              <w:jc w:val="center"/>
              <w:rPr>
                <w:rFonts w:ascii="新宋体" w:hAnsi="新宋体" w:eastAsia="新宋体" w:cs="宋体"/>
                <w:color w:val="auto"/>
                <w:sz w:val="18"/>
                <w:szCs w:val="18"/>
              </w:rPr>
            </w:pPr>
            <w:r>
              <w:rPr>
                <w:rFonts w:hint="eastAsia" w:ascii="新宋体" w:hAnsi="新宋体" w:eastAsia="新宋体"/>
                <w:color w:val="auto"/>
                <w:sz w:val="18"/>
                <w:szCs w:val="18"/>
              </w:rPr>
              <w:t>钛金地脚线</w:t>
            </w:r>
          </w:p>
        </w:tc>
        <w:tc>
          <w:tcPr>
            <w:tcW w:w="3376" w:type="pct"/>
            <w:vAlign w:val="center"/>
          </w:tcPr>
          <w:p w14:paraId="70C088CA">
            <w:pPr>
              <w:rPr>
                <w:rFonts w:ascii="新宋体" w:hAnsi="新宋体" w:eastAsia="新宋体" w:cs="宋体"/>
                <w:color w:val="auto"/>
                <w:sz w:val="18"/>
                <w:szCs w:val="18"/>
              </w:rPr>
            </w:pPr>
            <w:r>
              <w:rPr>
                <w:rFonts w:hint="eastAsia" w:ascii="新宋体" w:hAnsi="新宋体" w:eastAsia="新宋体"/>
                <w:color w:val="auto"/>
                <w:sz w:val="18"/>
                <w:szCs w:val="18"/>
              </w:rPr>
              <w:t>1、地脚线用9mm厚泰山牌防火阻燃板打建80mm高基础</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2、使用黑色钛金固定于防火阻燃板上</w:t>
            </w:r>
          </w:p>
        </w:tc>
        <w:tc>
          <w:tcPr>
            <w:tcW w:w="464" w:type="pct"/>
            <w:vAlign w:val="center"/>
          </w:tcPr>
          <w:p w14:paraId="6270AA7D">
            <w:pPr>
              <w:jc w:val="center"/>
              <w:rPr>
                <w:rFonts w:ascii="新宋体" w:hAnsi="新宋体" w:eastAsia="新宋体" w:cs="宋体"/>
                <w:color w:val="auto"/>
                <w:sz w:val="18"/>
                <w:szCs w:val="18"/>
              </w:rPr>
            </w:pPr>
            <w:r>
              <w:rPr>
                <w:rFonts w:hint="eastAsia" w:ascii="新宋体" w:hAnsi="新宋体" w:eastAsia="新宋体"/>
                <w:color w:val="auto"/>
                <w:sz w:val="18"/>
                <w:szCs w:val="18"/>
              </w:rPr>
              <w:t>50</w:t>
            </w:r>
          </w:p>
        </w:tc>
        <w:tc>
          <w:tcPr>
            <w:tcW w:w="311" w:type="pct"/>
            <w:vAlign w:val="center"/>
          </w:tcPr>
          <w:p w14:paraId="249867E8">
            <w:pPr>
              <w:jc w:val="center"/>
              <w:rPr>
                <w:rFonts w:ascii="新宋体" w:hAnsi="新宋体" w:eastAsia="新宋体" w:cs="宋体"/>
                <w:color w:val="auto"/>
                <w:sz w:val="18"/>
                <w:szCs w:val="18"/>
              </w:rPr>
            </w:pPr>
            <w:r>
              <w:rPr>
                <w:rFonts w:hint="eastAsia" w:ascii="新宋体" w:hAnsi="新宋体" w:eastAsia="新宋体"/>
                <w:color w:val="auto"/>
                <w:kern w:val="0"/>
                <w:sz w:val="18"/>
                <w:szCs w:val="18"/>
              </w:rPr>
              <w:t>平方米</w:t>
            </w:r>
          </w:p>
        </w:tc>
      </w:tr>
      <w:tr w14:paraId="0EBC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7" w:type="pct"/>
            <w:shd w:val="clear" w:color="auto" w:fill="auto"/>
            <w:vAlign w:val="center"/>
          </w:tcPr>
          <w:p w14:paraId="79F8566E">
            <w:pPr>
              <w:widowControl/>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42" w:type="pct"/>
            <w:shd w:val="clear" w:color="000000" w:fill="auto"/>
            <w:vAlign w:val="center"/>
          </w:tcPr>
          <w:p w14:paraId="74D7D257">
            <w:pPr>
              <w:jc w:val="center"/>
              <w:rPr>
                <w:rFonts w:ascii="新宋体" w:hAnsi="新宋体" w:eastAsia="新宋体" w:cs="宋体"/>
                <w:color w:val="auto"/>
                <w:sz w:val="18"/>
                <w:szCs w:val="18"/>
              </w:rPr>
            </w:pPr>
            <w:r>
              <w:rPr>
                <w:rFonts w:hint="eastAsia" w:ascii="新宋体" w:hAnsi="新宋体" w:eastAsia="新宋体"/>
                <w:color w:val="auto"/>
                <w:sz w:val="18"/>
                <w:szCs w:val="18"/>
              </w:rPr>
              <w:t>欧普造型灯</w:t>
            </w:r>
          </w:p>
        </w:tc>
        <w:tc>
          <w:tcPr>
            <w:tcW w:w="3376" w:type="pct"/>
            <w:shd w:val="clear" w:color="000000" w:fill="auto"/>
            <w:vAlign w:val="center"/>
          </w:tcPr>
          <w:p w14:paraId="1836EFA3">
            <w:pPr>
              <w:rPr>
                <w:rFonts w:ascii="新宋体" w:hAnsi="新宋体" w:eastAsia="新宋体" w:cs="宋体"/>
                <w:color w:val="auto"/>
                <w:sz w:val="18"/>
                <w:szCs w:val="18"/>
              </w:rPr>
            </w:pPr>
            <w:r>
              <w:rPr>
                <w:rFonts w:hint="eastAsia" w:ascii="新宋体" w:hAnsi="新宋体" w:eastAsia="新宋体"/>
                <w:color w:val="auto"/>
                <w:sz w:val="18"/>
                <w:szCs w:val="18"/>
              </w:rPr>
              <w:t>1、LED造型灯（MJY4531）</w:t>
            </w:r>
            <w:r>
              <w:rPr>
                <w:rFonts w:eastAsia="新宋体"/>
                <w:color w:val="auto"/>
                <w:sz w:val="18"/>
                <w:szCs w:val="18"/>
              </w:rPr>
              <w:t>‌</w:t>
            </w:r>
            <w:r>
              <w:rPr>
                <w:rFonts w:hint="eastAsia" w:ascii="新宋体" w:hAnsi="新宋体" w:eastAsia="新宋体"/>
                <w:color w:val="auto"/>
                <w:sz w:val="18"/>
                <w:szCs w:val="18"/>
              </w:rPr>
              <w:t>：采用LED灯杆造型，支持定制尺寸，工作电压为DC20V~24V，额定功率15~200W，单点功率0.08~0.12W</w:t>
            </w:r>
          </w:p>
        </w:tc>
        <w:tc>
          <w:tcPr>
            <w:tcW w:w="464" w:type="pct"/>
            <w:shd w:val="clear" w:color="000000" w:fill="auto"/>
            <w:vAlign w:val="center"/>
          </w:tcPr>
          <w:p w14:paraId="7FEEC645">
            <w:pPr>
              <w:jc w:val="center"/>
              <w:rPr>
                <w:rFonts w:ascii="新宋体" w:hAnsi="新宋体" w:eastAsia="新宋体" w:cs="宋体"/>
                <w:color w:val="auto"/>
                <w:sz w:val="18"/>
                <w:szCs w:val="18"/>
              </w:rPr>
            </w:pPr>
            <w:r>
              <w:rPr>
                <w:rFonts w:hint="eastAsia" w:ascii="新宋体" w:hAnsi="新宋体" w:eastAsia="新宋体"/>
                <w:color w:val="auto"/>
                <w:sz w:val="18"/>
                <w:szCs w:val="18"/>
              </w:rPr>
              <w:t>100</w:t>
            </w:r>
          </w:p>
        </w:tc>
        <w:tc>
          <w:tcPr>
            <w:tcW w:w="311" w:type="pct"/>
            <w:shd w:val="clear" w:color="000000" w:fill="auto"/>
          </w:tcPr>
          <w:p w14:paraId="6DACD4CB">
            <w:pPr>
              <w:jc w:val="center"/>
              <w:rPr>
                <w:rFonts w:ascii="Calibri" w:hAnsi="Calibri"/>
                <w:color w:val="auto"/>
                <w:szCs w:val="22"/>
              </w:rPr>
            </w:pPr>
            <w:r>
              <w:rPr>
                <w:rFonts w:hint="eastAsia" w:ascii="新宋体" w:hAnsi="新宋体" w:eastAsia="新宋体"/>
                <w:color w:val="auto"/>
                <w:kern w:val="0"/>
                <w:sz w:val="18"/>
                <w:szCs w:val="18"/>
              </w:rPr>
              <w:t>平方米</w:t>
            </w:r>
          </w:p>
        </w:tc>
      </w:tr>
      <w:tr w14:paraId="64EC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7" w:type="pct"/>
            <w:shd w:val="clear" w:color="auto" w:fill="auto"/>
            <w:vAlign w:val="center"/>
          </w:tcPr>
          <w:p w14:paraId="742CD4B5">
            <w:pPr>
              <w:widowControl/>
              <w:jc w:val="center"/>
              <w:rPr>
                <w:rFonts w:ascii="宋体" w:hAnsi="宋体" w:cs="宋体"/>
                <w:color w:val="auto"/>
                <w:kern w:val="0"/>
                <w:sz w:val="18"/>
                <w:szCs w:val="18"/>
              </w:rPr>
            </w:pPr>
            <w:r>
              <w:rPr>
                <w:rFonts w:hint="eastAsia" w:ascii="宋体" w:hAnsi="宋体" w:cs="宋体"/>
                <w:color w:val="auto"/>
                <w:kern w:val="0"/>
                <w:sz w:val="18"/>
                <w:szCs w:val="18"/>
              </w:rPr>
              <w:t>11</w:t>
            </w:r>
          </w:p>
        </w:tc>
        <w:tc>
          <w:tcPr>
            <w:tcW w:w="542" w:type="pct"/>
            <w:shd w:val="clear" w:color="000000" w:fill="auto"/>
            <w:vAlign w:val="center"/>
          </w:tcPr>
          <w:p w14:paraId="5635E9C2">
            <w:pPr>
              <w:jc w:val="center"/>
              <w:rPr>
                <w:rFonts w:ascii="新宋体" w:hAnsi="新宋体" w:eastAsia="新宋体" w:cs="宋体"/>
                <w:color w:val="auto"/>
                <w:sz w:val="18"/>
                <w:szCs w:val="18"/>
              </w:rPr>
            </w:pPr>
            <w:r>
              <w:rPr>
                <w:rFonts w:hint="eastAsia" w:ascii="新宋体" w:hAnsi="新宋体" w:eastAsia="新宋体"/>
                <w:color w:val="auto"/>
                <w:sz w:val="18"/>
                <w:szCs w:val="18"/>
              </w:rPr>
              <w:t>暗装气管改造</w:t>
            </w:r>
          </w:p>
        </w:tc>
        <w:tc>
          <w:tcPr>
            <w:tcW w:w="3376" w:type="pct"/>
            <w:shd w:val="clear" w:color="000000" w:fill="auto"/>
            <w:vAlign w:val="center"/>
          </w:tcPr>
          <w:p w14:paraId="4D6B3E9F">
            <w:pPr>
              <w:rPr>
                <w:rFonts w:ascii="新宋体" w:hAnsi="新宋体" w:eastAsia="新宋体" w:cs="宋体"/>
                <w:color w:val="auto"/>
                <w:sz w:val="18"/>
                <w:szCs w:val="18"/>
              </w:rPr>
            </w:pPr>
            <w:r>
              <w:rPr>
                <w:rFonts w:hint="eastAsia" w:ascii="新宋体" w:hAnsi="新宋体" w:eastAsia="新宋体"/>
                <w:color w:val="auto"/>
                <w:sz w:val="18"/>
                <w:szCs w:val="18"/>
              </w:rPr>
              <w:t>1、在既定的气管线路地面切深度100mm宽80mm，预埋φ50mmPVC管道</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2、水泥砂浆找平开槽缝隙</w:t>
            </w:r>
          </w:p>
        </w:tc>
        <w:tc>
          <w:tcPr>
            <w:tcW w:w="464" w:type="pct"/>
            <w:shd w:val="clear" w:color="000000" w:fill="auto"/>
            <w:vAlign w:val="center"/>
          </w:tcPr>
          <w:p w14:paraId="5FD10C8C">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shd w:val="clear" w:color="000000" w:fill="auto"/>
          </w:tcPr>
          <w:p w14:paraId="54E74B76">
            <w:pPr>
              <w:jc w:val="center"/>
              <w:rPr>
                <w:rFonts w:ascii="Calibri" w:hAnsi="Calibri"/>
                <w:color w:val="auto"/>
                <w:szCs w:val="22"/>
              </w:rPr>
            </w:pPr>
            <w:r>
              <w:rPr>
                <w:rFonts w:hint="eastAsia" w:ascii="新宋体" w:hAnsi="新宋体" w:eastAsia="新宋体"/>
                <w:color w:val="auto"/>
                <w:kern w:val="0"/>
                <w:sz w:val="18"/>
                <w:szCs w:val="18"/>
              </w:rPr>
              <w:t>平方米</w:t>
            </w:r>
          </w:p>
        </w:tc>
      </w:tr>
      <w:tr w14:paraId="41EE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trPr>
        <w:tc>
          <w:tcPr>
            <w:tcW w:w="307" w:type="pct"/>
            <w:shd w:val="clear" w:color="auto" w:fill="auto"/>
            <w:vAlign w:val="center"/>
          </w:tcPr>
          <w:p w14:paraId="3F8F9E85">
            <w:pPr>
              <w:widowControl/>
              <w:jc w:val="center"/>
              <w:rPr>
                <w:rFonts w:ascii="宋体" w:hAnsi="宋体" w:cs="宋体"/>
                <w:color w:val="auto"/>
                <w:kern w:val="0"/>
                <w:sz w:val="18"/>
                <w:szCs w:val="18"/>
              </w:rPr>
            </w:pPr>
            <w:r>
              <w:rPr>
                <w:rFonts w:hint="eastAsia" w:ascii="宋体" w:hAnsi="宋体" w:cs="宋体"/>
                <w:color w:val="auto"/>
                <w:kern w:val="0"/>
                <w:sz w:val="18"/>
                <w:szCs w:val="18"/>
              </w:rPr>
              <w:t>12</w:t>
            </w:r>
          </w:p>
        </w:tc>
        <w:tc>
          <w:tcPr>
            <w:tcW w:w="542" w:type="pct"/>
            <w:shd w:val="clear" w:color="000000" w:fill="auto"/>
            <w:vAlign w:val="center"/>
          </w:tcPr>
          <w:p w14:paraId="4C0C09EB">
            <w:pPr>
              <w:jc w:val="center"/>
              <w:rPr>
                <w:rFonts w:ascii="新宋体" w:hAnsi="新宋体" w:eastAsia="新宋体" w:cs="宋体"/>
                <w:color w:val="auto"/>
                <w:sz w:val="18"/>
                <w:szCs w:val="18"/>
              </w:rPr>
            </w:pPr>
            <w:r>
              <w:rPr>
                <w:rFonts w:hint="eastAsia" w:ascii="新宋体" w:hAnsi="新宋体" w:eastAsia="新宋体"/>
                <w:color w:val="auto"/>
                <w:sz w:val="18"/>
                <w:szCs w:val="18"/>
              </w:rPr>
              <w:t>线路改造</w:t>
            </w:r>
          </w:p>
        </w:tc>
        <w:tc>
          <w:tcPr>
            <w:tcW w:w="3376" w:type="pct"/>
            <w:shd w:val="clear" w:color="000000" w:fill="auto"/>
            <w:vAlign w:val="center"/>
          </w:tcPr>
          <w:p w14:paraId="5F21F642">
            <w:pPr>
              <w:rPr>
                <w:rFonts w:ascii="新宋体" w:hAnsi="新宋体" w:eastAsia="新宋体" w:cs="宋体"/>
                <w:color w:val="auto"/>
                <w:sz w:val="18"/>
                <w:szCs w:val="18"/>
              </w:rPr>
            </w:pPr>
            <w:r>
              <w:rPr>
                <w:rFonts w:hint="eastAsia" w:ascii="新宋体" w:hAnsi="新宋体" w:eastAsia="新宋体"/>
                <w:color w:val="auto"/>
                <w:sz w:val="18"/>
                <w:szCs w:val="18"/>
              </w:rPr>
              <w:t>使用桂林国际总厂电线，规格为4mm空调用电、2.5mm墙插用电、1.5mm照明及造型灯用电</w:t>
            </w:r>
          </w:p>
        </w:tc>
        <w:tc>
          <w:tcPr>
            <w:tcW w:w="464" w:type="pct"/>
            <w:shd w:val="clear" w:color="000000" w:fill="auto"/>
            <w:vAlign w:val="center"/>
          </w:tcPr>
          <w:p w14:paraId="3C749F8B">
            <w:pPr>
              <w:jc w:val="center"/>
              <w:rPr>
                <w:rFonts w:ascii="新宋体" w:hAnsi="新宋体" w:eastAsia="新宋体" w:cs="宋体"/>
                <w:color w:val="auto"/>
                <w:sz w:val="18"/>
                <w:szCs w:val="18"/>
              </w:rPr>
            </w:pPr>
            <w:r>
              <w:rPr>
                <w:rFonts w:hint="eastAsia" w:ascii="新宋体" w:hAnsi="新宋体" w:eastAsia="新宋体"/>
                <w:color w:val="auto"/>
                <w:sz w:val="18"/>
                <w:szCs w:val="18"/>
              </w:rPr>
              <w:t>150</w:t>
            </w:r>
          </w:p>
        </w:tc>
        <w:tc>
          <w:tcPr>
            <w:tcW w:w="311" w:type="pct"/>
            <w:shd w:val="clear" w:color="000000" w:fill="auto"/>
          </w:tcPr>
          <w:p w14:paraId="0ACB7C6E">
            <w:pPr>
              <w:jc w:val="center"/>
              <w:rPr>
                <w:rFonts w:ascii="Calibri" w:hAnsi="Calibri"/>
                <w:color w:val="auto"/>
                <w:szCs w:val="22"/>
              </w:rPr>
            </w:pPr>
            <w:r>
              <w:rPr>
                <w:rFonts w:hint="eastAsia" w:ascii="新宋体" w:hAnsi="新宋体" w:eastAsia="新宋体"/>
                <w:color w:val="auto"/>
                <w:kern w:val="0"/>
                <w:sz w:val="18"/>
                <w:szCs w:val="18"/>
              </w:rPr>
              <w:t>平方米</w:t>
            </w:r>
          </w:p>
        </w:tc>
      </w:tr>
      <w:tr w14:paraId="2E7E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5" w:hRule="atLeast"/>
        </w:trPr>
        <w:tc>
          <w:tcPr>
            <w:tcW w:w="307" w:type="pct"/>
            <w:vAlign w:val="center"/>
          </w:tcPr>
          <w:p w14:paraId="568E7878">
            <w:pPr>
              <w:widowControl/>
              <w:jc w:val="center"/>
              <w:rPr>
                <w:rFonts w:ascii="宋体" w:hAnsi="宋体" w:cs="宋体"/>
                <w:color w:val="auto"/>
                <w:kern w:val="0"/>
                <w:sz w:val="18"/>
                <w:szCs w:val="18"/>
              </w:rPr>
            </w:pPr>
            <w:r>
              <w:rPr>
                <w:rFonts w:hint="eastAsia" w:ascii="宋体" w:hAnsi="宋体" w:cs="宋体"/>
                <w:color w:val="auto"/>
                <w:kern w:val="0"/>
                <w:sz w:val="18"/>
                <w:szCs w:val="18"/>
              </w:rPr>
              <w:t>13</w:t>
            </w:r>
          </w:p>
        </w:tc>
        <w:tc>
          <w:tcPr>
            <w:tcW w:w="542" w:type="pct"/>
            <w:vAlign w:val="center"/>
          </w:tcPr>
          <w:p w14:paraId="05FE4A1E">
            <w:pPr>
              <w:jc w:val="center"/>
              <w:rPr>
                <w:rFonts w:ascii="新宋体" w:hAnsi="新宋体" w:eastAsia="新宋体" w:cs="宋体"/>
                <w:color w:val="auto"/>
                <w:sz w:val="18"/>
                <w:szCs w:val="18"/>
              </w:rPr>
            </w:pPr>
            <w:r>
              <w:rPr>
                <w:rFonts w:hint="eastAsia" w:ascii="新宋体" w:hAnsi="新宋体" w:eastAsia="新宋体"/>
                <w:color w:val="auto"/>
                <w:sz w:val="18"/>
                <w:szCs w:val="18"/>
              </w:rPr>
              <w:t>窗户改造</w:t>
            </w:r>
          </w:p>
        </w:tc>
        <w:tc>
          <w:tcPr>
            <w:tcW w:w="3376" w:type="pct"/>
            <w:vAlign w:val="center"/>
          </w:tcPr>
          <w:p w14:paraId="7CEDFD1D">
            <w:pPr>
              <w:rPr>
                <w:rFonts w:ascii="新宋体" w:hAnsi="新宋体" w:eastAsia="新宋体" w:cs="宋体"/>
                <w:color w:val="auto"/>
                <w:sz w:val="18"/>
                <w:szCs w:val="18"/>
              </w:rPr>
            </w:pPr>
            <w:r>
              <w:rPr>
                <w:rFonts w:hint="eastAsia" w:ascii="新宋体" w:hAnsi="新宋体" w:eastAsia="新宋体"/>
                <w:color w:val="auto"/>
                <w:sz w:val="18"/>
                <w:szCs w:val="18"/>
              </w:rPr>
              <w:t>1、拆除清理现有窗户</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2、铝合金材质厚度为1.8mm铝合金边框，5mm厚的钢化玻璃</w:t>
            </w:r>
          </w:p>
        </w:tc>
        <w:tc>
          <w:tcPr>
            <w:tcW w:w="464" w:type="pct"/>
            <w:vAlign w:val="center"/>
          </w:tcPr>
          <w:p w14:paraId="390ADFE3">
            <w:pPr>
              <w:jc w:val="center"/>
              <w:rPr>
                <w:rFonts w:ascii="新宋体" w:hAnsi="新宋体" w:eastAsia="新宋体" w:cs="宋体"/>
                <w:color w:val="auto"/>
                <w:sz w:val="18"/>
                <w:szCs w:val="18"/>
              </w:rPr>
            </w:pPr>
            <w:r>
              <w:rPr>
                <w:rFonts w:hint="eastAsia" w:ascii="新宋体" w:hAnsi="新宋体" w:eastAsia="新宋体"/>
                <w:color w:val="auto"/>
                <w:sz w:val="18"/>
                <w:szCs w:val="18"/>
              </w:rPr>
              <w:t>40</w:t>
            </w:r>
          </w:p>
        </w:tc>
        <w:tc>
          <w:tcPr>
            <w:tcW w:w="311" w:type="pct"/>
          </w:tcPr>
          <w:p w14:paraId="7813B6F5">
            <w:pPr>
              <w:jc w:val="center"/>
              <w:rPr>
                <w:rFonts w:ascii="Calibri" w:hAnsi="Calibri"/>
                <w:color w:val="auto"/>
                <w:szCs w:val="22"/>
              </w:rPr>
            </w:pPr>
            <w:r>
              <w:rPr>
                <w:rFonts w:hint="eastAsia" w:ascii="新宋体" w:hAnsi="新宋体" w:eastAsia="新宋体"/>
                <w:color w:val="auto"/>
                <w:kern w:val="0"/>
                <w:sz w:val="18"/>
                <w:szCs w:val="18"/>
              </w:rPr>
              <w:t>平方米</w:t>
            </w:r>
          </w:p>
        </w:tc>
      </w:tr>
      <w:tr w14:paraId="1E68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trPr>
        <w:tc>
          <w:tcPr>
            <w:tcW w:w="307" w:type="pct"/>
            <w:vAlign w:val="center"/>
          </w:tcPr>
          <w:p w14:paraId="55253CB8">
            <w:pPr>
              <w:widowControl/>
              <w:jc w:val="center"/>
              <w:rPr>
                <w:rFonts w:ascii="宋体" w:hAnsi="宋体" w:cs="宋体"/>
                <w:color w:val="auto"/>
                <w:kern w:val="0"/>
                <w:sz w:val="18"/>
                <w:szCs w:val="18"/>
              </w:rPr>
            </w:pPr>
            <w:r>
              <w:rPr>
                <w:rFonts w:hint="eastAsia" w:ascii="宋体" w:hAnsi="宋体" w:cs="宋体"/>
                <w:color w:val="auto"/>
                <w:kern w:val="0"/>
                <w:sz w:val="18"/>
                <w:szCs w:val="18"/>
              </w:rPr>
              <w:t>14</w:t>
            </w:r>
          </w:p>
        </w:tc>
        <w:tc>
          <w:tcPr>
            <w:tcW w:w="542" w:type="pct"/>
            <w:vAlign w:val="center"/>
          </w:tcPr>
          <w:p w14:paraId="753F5EB2">
            <w:pPr>
              <w:jc w:val="center"/>
              <w:rPr>
                <w:rFonts w:ascii="新宋体" w:hAnsi="新宋体" w:eastAsia="新宋体" w:cs="宋体"/>
                <w:color w:val="auto"/>
                <w:sz w:val="18"/>
                <w:szCs w:val="18"/>
              </w:rPr>
            </w:pPr>
            <w:r>
              <w:rPr>
                <w:rFonts w:hint="eastAsia" w:ascii="新宋体" w:hAnsi="新宋体" w:eastAsia="新宋体"/>
                <w:color w:val="auto"/>
                <w:sz w:val="18"/>
                <w:szCs w:val="18"/>
              </w:rPr>
              <w:t>走廊透视窗</w:t>
            </w:r>
          </w:p>
        </w:tc>
        <w:tc>
          <w:tcPr>
            <w:tcW w:w="3376" w:type="pct"/>
            <w:vAlign w:val="center"/>
          </w:tcPr>
          <w:p w14:paraId="5C7FD7D8">
            <w:pPr>
              <w:rPr>
                <w:rFonts w:ascii="新宋体" w:hAnsi="新宋体" w:eastAsia="新宋体" w:cs="宋体"/>
                <w:color w:val="auto"/>
                <w:sz w:val="18"/>
                <w:szCs w:val="18"/>
              </w:rPr>
            </w:pPr>
            <w:r>
              <w:rPr>
                <w:rFonts w:hint="eastAsia" w:ascii="新宋体" w:hAnsi="新宋体" w:eastAsia="新宋体"/>
                <w:color w:val="auto"/>
                <w:sz w:val="18"/>
                <w:szCs w:val="18"/>
              </w:rPr>
              <w:t>1、靠走廊墙面开一个尺寸为2500mm高，1500mm宽透视窗，内外门洞用铝合金造型包边</w:t>
            </w:r>
          </w:p>
        </w:tc>
        <w:tc>
          <w:tcPr>
            <w:tcW w:w="464" w:type="pct"/>
            <w:vAlign w:val="center"/>
          </w:tcPr>
          <w:p w14:paraId="19636A27">
            <w:pPr>
              <w:jc w:val="center"/>
              <w:rPr>
                <w:rFonts w:ascii="新宋体" w:hAnsi="新宋体" w:eastAsia="新宋体" w:cs="宋体"/>
                <w:color w:val="auto"/>
                <w:sz w:val="18"/>
                <w:szCs w:val="18"/>
              </w:rPr>
            </w:pPr>
            <w:r>
              <w:rPr>
                <w:rFonts w:hint="eastAsia" w:ascii="新宋体" w:hAnsi="新宋体" w:eastAsia="新宋体"/>
                <w:color w:val="auto"/>
                <w:sz w:val="18"/>
                <w:szCs w:val="18"/>
              </w:rPr>
              <w:t>2</w:t>
            </w:r>
          </w:p>
        </w:tc>
        <w:tc>
          <w:tcPr>
            <w:tcW w:w="311" w:type="pct"/>
            <w:vAlign w:val="center"/>
          </w:tcPr>
          <w:p w14:paraId="43FCE304">
            <w:pPr>
              <w:jc w:val="center"/>
              <w:rPr>
                <w:rFonts w:ascii="新宋体" w:hAnsi="新宋体" w:eastAsia="新宋体" w:cs="宋体"/>
                <w:color w:val="auto"/>
                <w:sz w:val="18"/>
                <w:szCs w:val="18"/>
              </w:rPr>
            </w:pPr>
            <w:r>
              <w:rPr>
                <w:rFonts w:hint="eastAsia" w:ascii="新宋体" w:hAnsi="新宋体" w:eastAsia="新宋体"/>
                <w:color w:val="auto"/>
                <w:sz w:val="18"/>
                <w:szCs w:val="18"/>
              </w:rPr>
              <w:t>个</w:t>
            </w:r>
          </w:p>
        </w:tc>
      </w:tr>
      <w:tr w14:paraId="57B5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atLeast"/>
        </w:trPr>
        <w:tc>
          <w:tcPr>
            <w:tcW w:w="307" w:type="pct"/>
            <w:vAlign w:val="center"/>
          </w:tcPr>
          <w:p w14:paraId="6D2F5AC9">
            <w:pPr>
              <w:widowControl/>
              <w:jc w:val="center"/>
              <w:rPr>
                <w:rFonts w:ascii="宋体" w:hAnsi="宋体" w:cs="宋体"/>
                <w:color w:val="auto"/>
                <w:kern w:val="0"/>
                <w:sz w:val="18"/>
                <w:szCs w:val="18"/>
              </w:rPr>
            </w:pPr>
            <w:r>
              <w:rPr>
                <w:rFonts w:hint="eastAsia" w:ascii="宋体" w:hAnsi="宋体" w:cs="宋体"/>
                <w:color w:val="auto"/>
                <w:kern w:val="0"/>
                <w:sz w:val="18"/>
                <w:szCs w:val="18"/>
              </w:rPr>
              <w:t>15</w:t>
            </w:r>
          </w:p>
        </w:tc>
        <w:tc>
          <w:tcPr>
            <w:tcW w:w="542" w:type="pct"/>
            <w:vAlign w:val="center"/>
          </w:tcPr>
          <w:p w14:paraId="288F7018">
            <w:pPr>
              <w:jc w:val="center"/>
              <w:rPr>
                <w:rFonts w:ascii="新宋体" w:hAnsi="新宋体" w:eastAsia="新宋体" w:cs="宋体"/>
                <w:color w:val="auto"/>
                <w:sz w:val="18"/>
                <w:szCs w:val="18"/>
              </w:rPr>
            </w:pPr>
            <w:r>
              <w:rPr>
                <w:rFonts w:hint="eastAsia" w:ascii="新宋体" w:hAnsi="新宋体" w:eastAsia="新宋体"/>
                <w:color w:val="auto"/>
                <w:sz w:val="18"/>
                <w:szCs w:val="18"/>
              </w:rPr>
              <w:t>防盗门</w:t>
            </w:r>
          </w:p>
        </w:tc>
        <w:tc>
          <w:tcPr>
            <w:tcW w:w="3376" w:type="pct"/>
            <w:vAlign w:val="center"/>
          </w:tcPr>
          <w:p w14:paraId="536B1832">
            <w:pPr>
              <w:rPr>
                <w:rFonts w:ascii="新宋体" w:hAnsi="新宋体" w:eastAsia="新宋体" w:cs="宋体"/>
                <w:color w:val="auto"/>
                <w:sz w:val="18"/>
                <w:szCs w:val="18"/>
              </w:rPr>
            </w:pPr>
            <w:r>
              <w:rPr>
                <w:rFonts w:hint="eastAsia" w:ascii="新宋体" w:hAnsi="新宋体" w:eastAsia="新宋体"/>
                <w:color w:val="auto"/>
                <w:sz w:val="18"/>
                <w:szCs w:val="18"/>
              </w:rPr>
              <w:t>定制甲级防盗门尺寸为2050*1050mmGB 17565-2007，门框厚度2.0mm，门扇厚度1.0mm</w:t>
            </w:r>
          </w:p>
        </w:tc>
        <w:tc>
          <w:tcPr>
            <w:tcW w:w="464" w:type="pct"/>
            <w:vAlign w:val="center"/>
          </w:tcPr>
          <w:p w14:paraId="0007AC87">
            <w:pPr>
              <w:jc w:val="center"/>
              <w:rPr>
                <w:rFonts w:ascii="新宋体" w:hAnsi="新宋体" w:eastAsia="新宋体" w:cs="宋体"/>
                <w:color w:val="auto"/>
                <w:sz w:val="18"/>
                <w:szCs w:val="18"/>
              </w:rPr>
            </w:pPr>
            <w:r>
              <w:rPr>
                <w:rFonts w:hint="eastAsia" w:ascii="新宋体" w:hAnsi="新宋体" w:eastAsia="新宋体"/>
                <w:color w:val="auto"/>
                <w:sz w:val="18"/>
                <w:szCs w:val="18"/>
              </w:rPr>
              <w:t>2</w:t>
            </w:r>
          </w:p>
        </w:tc>
        <w:tc>
          <w:tcPr>
            <w:tcW w:w="311" w:type="pct"/>
            <w:vAlign w:val="center"/>
          </w:tcPr>
          <w:p w14:paraId="2E1C7B06">
            <w:pPr>
              <w:jc w:val="center"/>
              <w:rPr>
                <w:rFonts w:ascii="新宋体" w:hAnsi="新宋体" w:eastAsia="新宋体" w:cs="宋体"/>
                <w:color w:val="auto"/>
                <w:sz w:val="18"/>
                <w:szCs w:val="18"/>
              </w:rPr>
            </w:pPr>
            <w:r>
              <w:rPr>
                <w:rFonts w:hint="eastAsia" w:ascii="新宋体" w:hAnsi="新宋体" w:eastAsia="新宋体"/>
                <w:color w:val="auto"/>
                <w:sz w:val="18"/>
                <w:szCs w:val="18"/>
              </w:rPr>
              <w:t>樘</w:t>
            </w:r>
          </w:p>
        </w:tc>
      </w:tr>
      <w:tr w14:paraId="2DA5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trPr>
        <w:tc>
          <w:tcPr>
            <w:tcW w:w="307" w:type="pct"/>
            <w:vAlign w:val="center"/>
          </w:tcPr>
          <w:p w14:paraId="4D559B03">
            <w:pPr>
              <w:widowControl/>
              <w:jc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542" w:type="pct"/>
            <w:vAlign w:val="center"/>
          </w:tcPr>
          <w:p w14:paraId="3A456876">
            <w:pPr>
              <w:jc w:val="center"/>
              <w:rPr>
                <w:rFonts w:ascii="新宋体" w:hAnsi="新宋体" w:eastAsia="新宋体" w:cs="宋体"/>
                <w:color w:val="auto"/>
                <w:sz w:val="18"/>
                <w:szCs w:val="18"/>
              </w:rPr>
            </w:pPr>
            <w:r>
              <w:rPr>
                <w:rFonts w:hint="eastAsia" w:ascii="新宋体" w:hAnsi="新宋体" w:eastAsia="新宋体"/>
                <w:color w:val="auto"/>
                <w:sz w:val="18"/>
                <w:szCs w:val="18"/>
              </w:rPr>
              <w:t>4匹风管机空调及铜管配件</w:t>
            </w:r>
          </w:p>
        </w:tc>
        <w:tc>
          <w:tcPr>
            <w:tcW w:w="3376" w:type="pct"/>
            <w:vAlign w:val="center"/>
          </w:tcPr>
          <w:p w14:paraId="66D4F5DE">
            <w:pPr>
              <w:rPr>
                <w:rFonts w:ascii="新宋体" w:hAnsi="新宋体" w:eastAsia="新宋体" w:cs="宋体"/>
                <w:color w:val="auto"/>
                <w:sz w:val="18"/>
                <w:szCs w:val="18"/>
              </w:rPr>
            </w:pPr>
            <w:r>
              <w:rPr>
                <w:rFonts w:hint="eastAsia" w:ascii="新宋体" w:hAnsi="新宋体" w:eastAsia="新宋体"/>
                <w:color w:val="auto"/>
                <w:sz w:val="18"/>
                <w:szCs w:val="18"/>
              </w:rPr>
              <w:t>风管机，型号100T2W/B3-LX(1)Ⅳ，新国标一级能效</w:t>
            </w:r>
            <w:r>
              <w:rPr>
                <w:rFonts w:eastAsia="新宋体"/>
                <w:color w:val="auto"/>
                <w:sz w:val="18"/>
                <w:szCs w:val="18"/>
              </w:rPr>
              <w:t>‌</w:t>
            </w:r>
            <w:r>
              <w:rPr>
                <w:rFonts w:hint="eastAsia" w:ascii="新宋体" w:hAnsi="新宋体" w:eastAsia="新宋体"/>
                <w:color w:val="auto"/>
                <w:sz w:val="18"/>
                <w:szCs w:val="18"/>
              </w:rPr>
              <w:t>制冷功率</w:t>
            </w:r>
            <w:r>
              <w:rPr>
                <w:rFonts w:eastAsia="新宋体"/>
                <w:color w:val="auto"/>
                <w:sz w:val="18"/>
                <w:szCs w:val="18"/>
              </w:rPr>
              <w:t>‌</w:t>
            </w:r>
            <w:r>
              <w:rPr>
                <w:rFonts w:hint="eastAsia" w:ascii="新宋体" w:hAnsi="新宋体" w:eastAsia="新宋体"/>
                <w:color w:val="auto"/>
                <w:sz w:val="18"/>
                <w:szCs w:val="18"/>
              </w:rPr>
              <w:t>：4000W</w:t>
            </w:r>
            <w:r>
              <w:rPr>
                <w:rFonts w:hint="eastAsia" w:ascii="新宋体" w:hAnsi="新宋体" w:eastAsia="新宋体"/>
                <w:color w:val="auto"/>
                <w:sz w:val="18"/>
                <w:szCs w:val="18"/>
              </w:rPr>
              <w:br w:type="textWrapping"/>
            </w:r>
            <w:r>
              <w:rPr>
                <w:rFonts w:eastAsia="新宋体"/>
                <w:color w:val="auto"/>
                <w:sz w:val="18"/>
                <w:szCs w:val="18"/>
              </w:rPr>
              <w:t>‌</w:t>
            </w:r>
            <w:r>
              <w:rPr>
                <w:rFonts w:hint="eastAsia" w:ascii="新宋体" w:hAnsi="新宋体" w:eastAsia="新宋体"/>
                <w:color w:val="auto"/>
                <w:sz w:val="18"/>
                <w:szCs w:val="18"/>
              </w:rPr>
              <w:t>制热功率</w:t>
            </w:r>
            <w:r>
              <w:rPr>
                <w:rFonts w:eastAsia="新宋体"/>
                <w:color w:val="auto"/>
                <w:sz w:val="18"/>
                <w:szCs w:val="18"/>
              </w:rPr>
              <w:t>‌</w:t>
            </w:r>
            <w:r>
              <w:rPr>
                <w:rFonts w:hint="eastAsia" w:ascii="新宋体" w:hAnsi="新宋体" w:eastAsia="新宋体"/>
                <w:color w:val="auto"/>
                <w:sz w:val="18"/>
                <w:szCs w:val="18"/>
              </w:rPr>
              <w:t>：3250W</w:t>
            </w:r>
            <w:r>
              <w:rPr>
                <w:rFonts w:hint="eastAsia" w:ascii="新宋体" w:hAnsi="新宋体" w:eastAsia="新宋体"/>
                <w:color w:val="auto"/>
                <w:sz w:val="18"/>
                <w:szCs w:val="18"/>
              </w:rPr>
              <w:br w:type="textWrapping"/>
            </w:r>
            <w:r>
              <w:rPr>
                <w:rFonts w:eastAsia="新宋体"/>
                <w:color w:val="auto"/>
                <w:sz w:val="18"/>
                <w:szCs w:val="18"/>
              </w:rPr>
              <w:t>‌</w:t>
            </w:r>
            <w:r>
              <w:rPr>
                <w:rFonts w:hint="eastAsia" w:ascii="新宋体" w:hAnsi="新宋体" w:eastAsia="新宋体"/>
                <w:color w:val="auto"/>
                <w:sz w:val="18"/>
                <w:szCs w:val="18"/>
              </w:rPr>
              <w:t>制冷量</w:t>
            </w:r>
            <w:r>
              <w:rPr>
                <w:rFonts w:eastAsia="新宋体"/>
                <w:color w:val="auto"/>
                <w:sz w:val="18"/>
                <w:szCs w:val="18"/>
              </w:rPr>
              <w:t>‌</w:t>
            </w:r>
            <w:r>
              <w:rPr>
                <w:rFonts w:hint="eastAsia" w:ascii="新宋体" w:hAnsi="新宋体" w:eastAsia="新宋体"/>
                <w:color w:val="auto"/>
                <w:sz w:val="18"/>
                <w:szCs w:val="18"/>
              </w:rPr>
              <w:t>：10000W</w:t>
            </w:r>
            <w:r>
              <w:rPr>
                <w:rFonts w:hint="eastAsia" w:ascii="新宋体" w:hAnsi="新宋体" w:eastAsia="新宋体"/>
                <w:color w:val="auto"/>
                <w:sz w:val="18"/>
                <w:szCs w:val="18"/>
              </w:rPr>
              <w:br w:type="textWrapping"/>
            </w:r>
            <w:r>
              <w:rPr>
                <w:rFonts w:eastAsia="新宋体"/>
                <w:color w:val="auto"/>
                <w:sz w:val="18"/>
                <w:szCs w:val="18"/>
              </w:rPr>
              <w:t>‌</w:t>
            </w:r>
            <w:r>
              <w:rPr>
                <w:rFonts w:hint="eastAsia" w:ascii="新宋体" w:hAnsi="新宋体" w:eastAsia="新宋体"/>
                <w:color w:val="auto"/>
                <w:sz w:val="18"/>
                <w:szCs w:val="18"/>
              </w:rPr>
              <w:t>制热量</w:t>
            </w:r>
            <w:r>
              <w:rPr>
                <w:rFonts w:eastAsia="新宋体"/>
                <w:color w:val="auto"/>
                <w:sz w:val="18"/>
                <w:szCs w:val="18"/>
              </w:rPr>
              <w:t>‌</w:t>
            </w:r>
            <w:r>
              <w:rPr>
                <w:rFonts w:hint="eastAsia" w:ascii="新宋体" w:hAnsi="新宋体" w:eastAsia="新宋体"/>
                <w:color w:val="auto"/>
                <w:sz w:val="18"/>
                <w:szCs w:val="18"/>
              </w:rPr>
              <w:t>：1100W</w:t>
            </w:r>
            <w:r>
              <w:rPr>
                <w:rFonts w:hint="eastAsia" w:ascii="新宋体" w:hAnsi="新宋体" w:eastAsia="新宋体"/>
                <w:color w:val="auto"/>
                <w:sz w:val="18"/>
                <w:szCs w:val="18"/>
              </w:rPr>
              <w:br w:type="textWrapping"/>
            </w:r>
            <w:r>
              <w:rPr>
                <w:rFonts w:hint="eastAsia" w:ascii="新宋体" w:hAnsi="新宋体" w:eastAsia="新宋体"/>
                <w:color w:val="auto"/>
                <w:sz w:val="18"/>
                <w:szCs w:val="18"/>
              </w:rPr>
              <w:t>室内机噪音低至25dB(A)。</w:t>
            </w:r>
          </w:p>
        </w:tc>
        <w:tc>
          <w:tcPr>
            <w:tcW w:w="464" w:type="pct"/>
            <w:vAlign w:val="center"/>
          </w:tcPr>
          <w:p w14:paraId="5BD6EEC7">
            <w:pPr>
              <w:jc w:val="center"/>
              <w:rPr>
                <w:rFonts w:ascii="新宋体" w:hAnsi="新宋体" w:eastAsia="新宋体" w:cs="宋体"/>
                <w:color w:val="auto"/>
                <w:sz w:val="18"/>
                <w:szCs w:val="18"/>
              </w:rPr>
            </w:pPr>
            <w:r>
              <w:rPr>
                <w:rFonts w:hint="eastAsia" w:ascii="新宋体" w:hAnsi="新宋体" w:eastAsia="新宋体"/>
                <w:color w:val="auto"/>
                <w:sz w:val="18"/>
                <w:szCs w:val="18"/>
              </w:rPr>
              <w:t>2</w:t>
            </w:r>
          </w:p>
        </w:tc>
        <w:tc>
          <w:tcPr>
            <w:tcW w:w="311" w:type="pct"/>
            <w:vAlign w:val="center"/>
          </w:tcPr>
          <w:p w14:paraId="3C9D1F76">
            <w:pPr>
              <w:jc w:val="center"/>
              <w:rPr>
                <w:rFonts w:ascii="新宋体" w:hAnsi="新宋体" w:eastAsia="新宋体" w:cs="宋体"/>
                <w:color w:val="auto"/>
                <w:sz w:val="18"/>
                <w:szCs w:val="18"/>
              </w:rPr>
            </w:pPr>
            <w:r>
              <w:rPr>
                <w:rFonts w:hint="eastAsia" w:ascii="新宋体" w:hAnsi="新宋体" w:eastAsia="新宋体"/>
                <w:color w:val="auto"/>
                <w:sz w:val="18"/>
                <w:szCs w:val="18"/>
              </w:rPr>
              <w:t>台</w:t>
            </w:r>
          </w:p>
        </w:tc>
      </w:tr>
      <w:tr w14:paraId="44FA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7" w:hRule="atLeast"/>
        </w:trPr>
        <w:tc>
          <w:tcPr>
            <w:tcW w:w="307" w:type="pct"/>
            <w:vAlign w:val="center"/>
          </w:tcPr>
          <w:p w14:paraId="494551AD">
            <w:pPr>
              <w:widowControl/>
              <w:jc w:val="center"/>
              <w:rPr>
                <w:rFonts w:ascii="宋体" w:hAnsi="宋体" w:cs="宋体"/>
                <w:color w:val="auto"/>
                <w:kern w:val="0"/>
                <w:sz w:val="18"/>
                <w:szCs w:val="18"/>
              </w:rPr>
            </w:pPr>
            <w:r>
              <w:rPr>
                <w:rFonts w:hint="eastAsia" w:ascii="宋体" w:hAnsi="宋体" w:cs="宋体"/>
                <w:color w:val="auto"/>
                <w:kern w:val="0"/>
                <w:sz w:val="18"/>
                <w:szCs w:val="18"/>
              </w:rPr>
              <w:t>17</w:t>
            </w:r>
          </w:p>
        </w:tc>
        <w:tc>
          <w:tcPr>
            <w:tcW w:w="542" w:type="pct"/>
            <w:vAlign w:val="center"/>
          </w:tcPr>
          <w:p w14:paraId="591BC065">
            <w:pPr>
              <w:jc w:val="center"/>
              <w:rPr>
                <w:rFonts w:ascii="新宋体" w:hAnsi="新宋体" w:eastAsia="新宋体" w:cs="宋体"/>
                <w:color w:val="auto"/>
                <w:sz w:val="18"/>
                <w:szCs w:val="18"/>
              </w:rPr>
            </w:pPr>
            <w:r>
              <w:rPr>
                <w:rFonts w:hint="eastAsia" w:ascii="新宋体" w:hAnsi="新宋体" w:eastAsia="新宋体"/>
                <w:color w:val="auto"/>
                <w:sz w:val="18"/>
                <w:szCs w:val="18"/>
              </w:rPr>
              <w:t>65寸教学显示器</w:t>
            </w:r>
          </w:p>
        </w:tc>
        <w:tc>
          <w:tcPr>
            <w:tcW w:w="3376" w:type="pct"/>
            <w:vAlign w:val="center"/>
          </w:tcPr>
          <w:p w14:paraId="29D164F0">
            <w:pPr>
              <w:widowControl/>
              <w:jc w:val="left"/>
              <w:rPr>
                <w:rFonts w:ascii="宋体" w:hAnsi="宋体" w:cs="宋体"/>
                <w:b/>
                <w:color w:val="auto"/>
                <w:kern w:val="0"/>
                <w:sz w:val="18"/>
                <w:szCs w:val="18"/>
              </w:rPr>
            </w:pPr>
            <w:r>
              <w:rPr>
                <w:rFonts w:hint="eastAsia" w:ascii="微软雅黑" w:hAnsi="微软雅黑" w:eastAsia="微软雅黑"/>
                <w:color w:val="auto"/>
                <w:sz w:val="18"/>
                <w:szCs w:val="18"/>
                <w:shd w:val="clear" w:color="auto" w:fill="FFFFFF"/>
              </w:rPr>
              <w:t>65英寸，4K分辨率，144Hz刷新率，2GB+32GB存储，一级能效</w:t>
            </w:r>
          </w:p>
        </w:tc>
        <w:tc>
          <w:tcPr>
            <w:tcW w:w="464" w:type="pct"/>
            <w:vAlign w:val="center"/>
          </w:tcPr>
          <w:p w14:paraId="678054DE">
            <w:pPr>
              <w:jc w:val="center"/>
              <w:rPr>
                <w:rFonts w:ascii="新宋体" w:hAnsi="新宋体" w:eastAsia="新宋体" w:cs="宋体"/>
                <w:color w:val="auto"/>
                <w:sz w:val="18"/>
                <w:szCs w:val="18"/>
              </w:rPr>
            </w:pPr>
            <w:r>
              <w:rPr>
                <w:rFonts w:hint="eastAsia" w:ascii="新宋体" w:hAnsi="新宋体" w:eastAsia="新宋体"/>
                <w:color w:val="auto"/>
                <w:sz w:val="18"/>
                <w:szCs w:val="18"/>
              </w:rPr>
              <w:t>2</w:t>
            </w:r>
          </w:p>
        </w:tc>
        <w:tc>
          <w:tcPr>
            <w:tcW w:w="311" w:type="pct"/>
            <w:vAlign w:val="center"/>
          </w:tcPr>
          <w:p w14:paraId="009D0720">
            <w:pPr>
              <w:jc w:val="center"/>
              <w:rPr>
                <w:rFonts w:ascii="新宋体" w:hAnsi="新宋体" w:eastAsia="新宋体" w:cs="宋体"/>
                <w:color w:val="auto"/>
                <w:sz w:val="18"/>
                <w:szCs w:val="18"/>
              </w:rPr>
            </w:pPr>
            <w:r>
              <w:rPr>
                <w:rFonts w:hint="eastAsia" w:ascii="新宋体" w:hAnsi="新宋体" w:eastAsia="新宋体"/>
                <w:color w:val="auto"/>
                <w:sz w:val="18"/>
                <w:szCs w:val="18"/>
              </w:rPr>
              <w:t>台</w:t>
            </w:r>
          </w:p>
        </w:tc>
      </w:tr>
      <w:tr w14:paraId="68F6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307" w:type="pct"/>
            <w:vAlign w:val="center"/>
          </w:tcPr>
          <w:p w14:paraId="59A765C7">
            <w:pPr>
              <w:widowControl/>
              <w:jc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542" w:type="pct"/>
            <w:vAlign w:val="center"/>
          </w:tcPr>
          <w:p w14:paraId="5329D34A">
            <w:pPr>
              <w:jc w:val="center"/>
              <w:rPr>
                <w:rFonts w:ascii="新宋体" w:hAnsi="新宋体" w:eastAsia="新宋体" w:cs="宋体"/>
                <w:color w:val="auto"/>
                <w:sz w:val="18"/>
                <w:szCs w:val="18"/>
              </w:rPr>
            </w:pPr>
            <w:r>
              <w:rPr>
                <w:rFonts w:hint="eastAsia" w:ascii="新宋体" w:hAnsi="新宋体" w:eastAsia="新宋体"/>
                <w:color w:val="auto"/>
                <w:sz w:val="18"/>
                <w:szCs w:val="18"/>
              </w:rPr>
              <w:t>六边形组合桌椅</w:t>
            </w:r>
          </w:p>
        </w:tc>
        <w:tc>
          <w:tcPr>
            <w:tcW w:w="3376" w:type="pct"/>
            <w:vAlign w:val="center"/>
          </w:tcPr>
          <w:p w14:paraId="742B42DA">
            <w:pPr>
              <w:widowControl/>
              <w:jc w:val="left"/>
              <w:rPr>
                <w:rFonts w:ascii="宋体" w:hAnsi="宋体" w:cs="宋体"/>
                <w:color w:val="auto"/>
                <w:kern w:val="0"/>
                <w:sz w:val="18"/>
                <w:szCs w:val="18"/>
              </w:rPr>
            </w:pPr>
            <w:r>
              <w:rPr>
                <w:rFonts w:hint="eastAsia" w:ascii="宋体" w:hAnsi="宋体" w:cs="宋体"/>
                <w:color w:val="auto"/>
                <w:kern w:val="0"/>
                <w:sz w:val="18"/>
                <w:szCs w:val="18"/>
              </w:rPr>
              <w:t>六角拼桌规格(mm)：W2000*D2000*H750mm带机箱，钢木结合，颜色可选</w:t>
            </w:r>
          </w:p>
          <w:p w14:paraId="16C22EF7">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一 </w:t>
            </w:r>
            <w:r>
              <w:rPr>
                <w:rFonts w:hint="eastAsia" w:ascii="Calibri" w:hAnsi="Calibri"/>
                <w:color w:val="auto"/>
                <w:kern w:val="0"/>
                <w:sz w:val="18"/>
                <w:szCs w:val="18"/>
              </w:rPr>
              <w:t>★</w:t>
            </w:r>
            <w:r>
              <w:rPr>
                <w:rFonts w:hint="eastAsia" w:ascii="宋体" w:hAnsi="宋体" w:cs="宋体"/>
                <w:color w:val="auto"/>
                <w:kern w:val="0"/>
                <w:sz w:val="18"/>
                <w:szCs w:val="18"/>
              </w:rPr>
              <w:t>1、桌面采用25厘厚优质采用ENF级实木颗粒板（刨花板）需符合GB/T 4897-2015《刨花板》GB/T 17657-2022《人造板及饰面人造板理化性能试验方法》GB 18580-2017《室内装饰装修材料人造板及其制品中甲醛释放限量》GB/T 39600-2021《人造板及其制品甲醛释放量分级》GB/T 21510-2024《纳米无机材料抗菌性能检测方法及评价》JC/T 2039-2010《抗菌防霉木质装饰板》甲醛释放量(气候箱法)ENF级≤0.025mg/m³、防霉菌性能0级、耐高温性能无裂纹、①其尺寸偏差、外观质量均检测合格</w:t>
            </w:r>
            <w:r>
              <w:rPr>
                <w:rFonts w:ascii="宋体" w:hAnsi="宋体" w:cs="宋体"/>
                <w:color w:val="auto"/>
                <w:kern w:val="0"/>
                <w:sz w:val="18"/>
                <w:szCs w:val="18"/>
              </w:rPr>
              <w:t>:</w:t>
            </w:r>
            <w:r>
              <w:rPr>
                <w:rFonts w:hint="eastAsia" w:ascii="宋体" w:hAnsi="宋体" w:cs="宋体"/>
                <w:color w:val="auto"/>
                <w:kern w:val="0"/>
                <w:sz w:val="18"/>
                <w:szCs w:val="18"/>
              </w:rPr>
              <w:t>②含水率≦</w:t>
            </w:r>
            <w:r>
              <w:rPr>
                <w:rFonts w:ascii="宋体" w:hAnsi="宋体" w:cs="宋体"/>
                <w:color w:val="auto"/>
                <w:kern w:val="0"/>
                <w:sz w:val="18"/>
                <w:szCs w:val="18"/>
              </w:rPr>
              <w:t>8%</w:t>
            </w:r>
            <w:r>
              <w:rPr>
                <w:rFonts w:hint="eastAsia" w:ascii="宋体" w:hAnsi="宋体" w:cs="宋体"/>
                <w:color w:val="auto"/>
                <w:kern w:val="0"/>
                <w:sz w:val="18"/>
                <w:szCs w:val="18"/>
              </w:rPr>
              <w:t>；③板内密度偏差</w:t>
            </w:r>
            <w:r>
              <w:rPr>
                <w:rFonts w:ascii="宋体" w:hAnsi="宋体" w:cs="宋体"/>
                <w:color w:val="auto"/>
                <w:kern w:val="0"/>
                <w:sz w:val="18"/>
                <w:szCs w:val="18"/>
              </w:rPr>
              <w:t>:±10%</w:t>
            </w:r>
            <w:r>
              <w:rPr>
                <w:rFonts w:hint="eastAsia" w:ascii="宋体" w:hAnsi="宋体" w:cs="宋体"/>
                <w:color w:val="auto"/>
                <w:kern w:val="0"/>
                <w:sz w:val="18"/>
                <w:szCs w:val="18"/>
              </w:rPr>
              <w:t>；④静曲强度≧</w:t>
            </w:r>
            <w:r>
              <w:rPr>
                <w:rFonts w:ascii="宋体" w:hAnsi="宋体" w:cs="宋体"/>
                <w:color w:val="auto"/>
                <w:kern w:val="0"/>
                <w:sz w:val="18"/>
                <w:szCs w:val="18"/>
              </w:rPr>
              <w:t>10.5MPa</w:t>
            </w:r>
            <w:r>
              <w:rPr>
                <w:rFonts w:hint="eastAsia" w:ascii="宋体" w:hAnsi="宋体" w:cs="宋体"/>
                <w:color w:val="auto"/>
                <w:kern w:val="0"/>
                <w:sz w:val="18"/>
                <w:szCs w:val="18"/>
              </w:rPr>
              <w:t>，⑤弾性模量≧</w:t>
            </w:r>
            <w:r>
              <w:rPr>
                <w:rFonts w:ascii="宋体" w:hAnsi="宋体" w:cs="宋体"/>
                <w:color w:val="auto"/>
                <w:kern w:val="0"/>
                <w:sz w:val="18"/>
                <w:szCs w:val="18"/>
              </w:rPr>
              <w:t>5000MPa</w:t>
            </w:r>
            <w:r>
              <w:rPr>
                <w:rFonts w:hint="eastAsia" w:ascii="宋体" w:hAnsi="宋体" w:cs="宋体"/>
                <w:color w:val="auto"/>
                <w:kern w:val="0"/>
                <w:sz w:val="18"/>
                <w:szCs w:val="18"/>
              </w:rPr>
              <w:t>，⑥内胶合强度≧</w:t>
            </w:r>
            <w:r>
              <w:rPr>
                <w:rFonts w:ascii="宋体" w:hAnsi="宋体" w:cs="宋体"/>
                <w:color w:val="auto"/>
                <w:kern w:val="0"/>
                <w:sz w:val="18"/>
                <w:szCs w:val="18"/>
              </w:rPr>
              <w:t>1.5MPa</w:t>
            </w:r>
            <w:r>
              <w:rPr>
                <w:rFonts w:hint="eastAsia" w:ascii="宋体" w:hAnsi="宋体" w:cs="宋体"/>
                <w:color w:val="auto"/>
                <w:kern w:val="0"/>
                <w:sz w:val="18"/>
                <w:szCs w:val="18"/>
              </w:rPr>
              <w:t>，⑦表面胶合强度≧</w:t>
            </w:r>
            <w:r>
              <w:rPr>
                <w:rFonts w:ascii="宋体" w:hAnsi="宋体" w:cs="宋体"/>
                <w:color w:val="auto"/>
                <w:kern w:val="0"/>
                <w:sz w:val="18"/>
                <w:szCs w:val="18"/>
              </w:rPr>
              <w:t>1.5MPa</w:t>
            </w:r>
            <w:r>
              <w:rPr>
                <w:rFonts w:hint="eastAsia" w:ascii="宋体" w:hAnsi="宋体" w:cs="宋体"/>
                <w:color w:val="auto"/>
                <w:kern w:val="0"/>
                <w:sz w:val="18"/>
                <w:szCs w:val="18"/>
              </w:rPr>
              <w:t>；⑧板边握螺钉力≧</w:t>
            </w:r>
            <w:r>
              <w:rPr>
                <w:rFonts w:ascii="宋体" w:hAnsi="宋体" w:cs="宋体"/>
                <w:color w:val="auto"/>
                <w:kern w:val="0"/>
                <w:sz w:val="18"/>
                <w:szCs w:val="18"/>
              </w:rPr>
              <w:t>1100N</w:t>
            </w:r>
            <w:r>
              <w:rPr>
                <w:rFonts w:hint="eastAsia" w:ascii="宋体" w:hAnsi="宋体" w:cs="宋体"/>
                <w:color w:val="auto"/>
                <w:kern w:val="0"/>
                <w:sz w:val="18"/>
                <w:szCs w:val="18"/>
              </w:rPr>
              <w:t>，⑨板面握螺钉力≧</w:t>
            </w:r>
            <w:r>
              <w:rPr>
                <w:rFonts w:ascii="宋体" w:hAnsi="宋体" w:cs="宋体"/>
                <w:color w:val="auto"/>
                <w:kern w:val="0"/>
                <w:sz w:val="18"/>
                <w:szCs w:val="18"/>
              </w:rPr>
              <w:t>1500N</w:t>
            </w:r>
            <w:r>
              <w:rPr>
                <w:rFonts w:hint="eastAsia" w:ascii="宋体" w:hAnsi="宋体" w:cs="宋体"/>
                <w:color w:val="auto"/>
                <w:kern w:val="0"/>
                <w:sz w:val="18"/>
                <w:szCs w:val="18"/>
              </w:rPr>
              <w:t>，⑩</w:t>
            </w:r>
            <w:r>
              <w:rPr>
                <w:rFonts w:ascii="宋体" w:hAnsi="宋体" w:cs="宋体"/>
                <w:color w:val="auto"/>
                <w:kern w:val="0"/>
                <w:sz w:val="18"/>
                <w:szCs w:val="18"/>
              </w:rPr>
              <w:t>2h</w:t>
            </w:r>
            <w:r>
              <w:rPr>
                <w:rFonts w:hint="eastAsia" w:ascii="宋体" w:hAnsi="宋体" w:cs="宋体"/>
                <w:color w:val="auto"/>
                <w:kern w:val="0"/>
                <w:sz w:val="18"/>
                <w:szCs w:val="18"/>
              </w:rPr>
              <w:t>吸水厚度膨胀率≤</w:t>
            </w:r>
            <w:r>
              <w:rPr>
                <w:rFonts w:ascii="宋体" w:hAnsi="宋体" w:cs="宋体"/>
                <w:color w:val="auto"/>
                <w:kern w:val="0"/>
                <w:sz w:val="18"/>
                <w:szCs w:val="18"/>
              </w:rPr>
              <w:t>2.5%</w:t>
            </w:r>
            <w:r>
              <w:rPr>
                <w:rFonts w:hint="eastAsia" w:ascii="宋体" w:hAnsi="宋体" w:cs="宋体"/>
                <w:color w:val="auto"/>
                <w:kern w:val="0"/>
                <w:sz w:val="18"/>
                <w:szCs w:val="18"/>
              </w:rPr>
              <w:t>；</w:t>
            </w:r>
            <w:r>
              <w:rPr>
                <w:rFonts w:ascii="Cambria Math" w:hAnsi="Cambria Math" w:cs="Cambria Math"/>
                <w:color w:val="auto"/>
                <w:kern w:val="0"/>
                <w:sz w:val="18"/>
                <w:szCs w:val="18"/>
              </w:rPr>
              <w:t>⑪</w:t>
            </w:r>
            <w:r>
              <w:rPr>
                <w:rFonts w:hint="eastAsia" w:ascii="宋体" w:hAnsi="宋体" w:cs="宋体"/>
                <w:color w:val="auto"/>
                <w:kern w:val="0"/>
                <w:sz w:val="18"/>
                <w:szCs w:val="18"/>
              </w:rPr>
              <w:t>甲醛释放量≦</w:t>
            </w:r>
            <w:r>
              <w:rPr>
                <w:rFonts w:ascii="宋体" w:hAnsi="宋体" w:cs="宋体"/>
                <w:color w:val="auto"/>
                <w:kern w:val="0"/>
                <w:sz w:val="18"/>
                <w:szCs w:val="18"/>
              </w:rPr>
              <w:t>0.025mg/m³</w:t>
            </w:r>
            <w:r>
              <w:rPr>
                <w:rFonts w:hint="eastAsia" w:ascii="宋体" w:hAnsi="宋体" w:cs="宋体"/>
                <w:color w:val="auto"/>
                <w:kern w:val="0"/>
                <w:sz w:val="18"/>
                <w:szCs w:val="18"/>
              </w:rPr>
              <w:t>；</w:t>
            </w:r>
            <w:r>
              <w:rPr>
                <w:rFonts w:ascii="Cambria Math" w:hAnsi="Cambria Math" w:cs="Cambria Math"/>
                <w:color w:val="auto"/>
                <w:kern w:val="0"/>
                <w:sz w:val="18"/>
                <w:szCs w:val="18"/>
              </w:rPr>
              <w:t>⑫</w:t>
            </w:r>
            <w:r>
              <w:rPr>
                <w:rFonts w:hint="eastAsia" w:ascii="宋体" w:hAnsi="宋体" w:cs="宋体"/>
                <w:color w:val="auto"/>
                <w:kern w:val="0"/>
                <w:sz w:val="18"/>
                <w:szCs w:val="18"/>
              </w:rPr>
              <w:t>宛氏拟青霉：防菌等级</w:t>
            </w:r>
            <w:r>
              <w:rPr>
                <w:rFonts w:ascii="宋体" w:hAnsi="宋体" w:cs="宋体"/>
                <w:color w:val="auto"/>
                <w:kern w:val="0"/>
                <w:sz w:val="18"/>
                <w:szCs w:val="18"/>
              </w:rPr>
              <w:t>0</w:t>
            </w:r>
            <w:r>
              <w:rPr>
                <w:rFonts w:hint="eastAsia" w:ascii="宋体" w:hAnsi="宋体" w:cs="宋体"/>
                <w:color w:val="auto"/>
                <w:kern w:val="0"/>
                <w:sz w:val="18"/>
                <w:szCs w:val="18"/>
              </w:rPr>
              <w:t>级</w:t>
            </w:r>
            <w:r>
              <w:rPr>
                <w:rFonts w:ascii="Cambria Math" w:hAnsi="Cambria Math" w:cs="Cambria Math"/>
                <w:color w:val="auto"/>
                <w:kern w:val="0"/>
                <w:sz w:val="18"/>
                <w:szCs w:val="18"/>
              </w:rPr>
              <w:t>⑬</w:t>
            </w:r>
            <w:r>
              <w:rPr>
                <w:rFonts w:hint="eastAsia" w:ascii="宋体" w:hAnsi="宋体" w:cs="宋体"/>
                <w:color w:val="auto"/>
                <w:kern w:val="0"/>
                <w:sz w:val="18"/>
                <w:szCs w:val="18"/>
              </w:rPr>
              <w:t>大肠杆菌：抗菌率＞</w:t>
            </w:r>
            <w:r>
              <w:rPr>
                <w:rFonts w:ascii="宋体" w:hAnsi="宋体" w:cs="宋体"/>
                <w:color w:val="auto"/>
                <w:kern w:val="0"/>
                <w:sz w:val="18"/>
                <w:szCs w:val="18"/>
              </w:rPr>
              <w:t>99.9%</w:t>
            </w:r>
            <w:r>
              <w:rPr>
                <w:rFonts w:hint="eastAsia" w:ascii="宋体" w:hAnsi="宋体" w:cs="宋体"/>
                <w:color w:val="auto"/>
                <w:kern w:val="0"/>
                <w:sz w:val="18"/>
                <w:szCs w:val="18"/>
              </w:rPr>
              <w:t>；</w:t>
            </w:r>
            <w:r>
              <w:rPr>
                <w:rFonts w:ascii="宋体" w:hAnsi="宋体" w:cs="宋体"/>
                <w:color w:val="auto"/>
                <w:kern w:val="0"/>
                <w:sz w:val="18"/>
                <w:szCs w:val="18"/>
              </w:rPr>
              <w:t xml:space="preserve">                                                         </w:t>
            </w:r>
            <w:r>
              <w:rPr>
                <w:rFonts w:hint="eastAsia" w:ascii="Calibri" w:hAnsi="Calibri"/>
                <w:color w:val="auto"/>
                <w:kern w:val="0"/>
                <w:sz w:val="18"/>
                <w:szCs w:val="18"/>
              </w:rPr>
              <w:t>★</w:t>
            </w:r>
            <w:r>
              <w:rPr>
                <w:rFonts w:ascii="宋体" w:hAnsi="宋体" w:cs="宋体"/>
                <w:color w:val="auto"/>
                <w:kern w:val="0"/>
                <w:sz w:val="18"/>
                <w:szCs w:val="18"/>
              </w:rPr>
              <w:t>2</w:t>
            </w:r>
            <w:r>
              <w:rPr>
                <w:rFonts w:hint="eastAsia" w:ascii="宋体" w:hAnsi="宋体" w:cs="宋体"/>
                <w:color w:val="auto"/>
                <w:kern w:val="0"/>
                <w:sz w:val="18"/>
                <w:szCs w:val="18"/>
              </w:rPr>
              <w:t xml:space="preserve">、下体设有钢制机箱，不带门，可放置主机，机箱采用0.8mm厚度冷轧钢板冲压成型，增加桌子的稳固性桌底有支撑横梁、桌腿采用1.2mm厚度钢架，主体钢材采用除油、除锈、磷化、静电喷涂工艺处理，涂层均匀牢固，无流挂、气泡等缺陷。                                                     </w:t>
            </w:r>
          </w:p>
          <w:p w14:paraId="69969957">
            <w:pPr>
              <w:widowControl/>
              <w:jc w:val="left"/>
              <w:rPr>
                <w:rFonts w:ascii="宋体" w:hAnsi="宋体" w:cs="宋体"/>
                <w:color w:val="auto"/>
                <w:kern w:val="0"/>
                <w:sz w:val="18"/>
                <w:szCs w:val="18"/>
              </w:rPr>
            </w:pPr>
            <w:r>
              <w:rPr>
                <w:rFonts w:hint="eastAsia" w:ascii="Calibri" w:hAnsi="Calibri"/>
                <w:color w:val="auto"/>
                <w:kern w:val="0"/>
                <w:sz w:val="18"/>
                <w:szCs w:val="18"/>
              </w:rPr>
              <w:t>★</w:t>
            </w:r>
            <w:r>
              <w:rPr>
                <w:rFonts w:hint="eastAsia" w:ascii="宋体" w:hAnsi="宋体" w:cs="宋体"/>
                <w:color w:val="auto"/>
                <w:kern w:val="0"/>
                <w:sz w:val="18"/>
                <w:szCs w:val="18"/>
              </w:rPr>
              <w:t xml:space="preserve">3、胶粘剂符合GB 18583-2008《室内装饰装修材料胶粘剂中有害物质限量》GB 33372-2020《胶粘剂挥发性有机化合物限量》水基型胶粘剂VOC含量限量室内装饰装修-聚乙酸乙烯酯类≤50g/L、水基型胶粘剂中有害物质限量值、游离甲醛≤1.0g/kg；苯≤≤0.20g/kg；甲苯+二甲苯≤0.3g/kg；总挥发性有机物≤30g/L </w:t>
            </w:r>
          </w:p>
          <w:p w14:paraId="2815BDEE">
            <w:pPr>
              <w:widowControl/>
              <w:jc w:val="left"/>
              <w:rPr>
                <w:rFonts w:ascii="宋体" w:hAnsi="宋体" w:cs="宋体"/>
                <w:color w:val="auto"/>
                <w:kern w:val="0"/>
                <w:sz w:val="18"/>
                <w:szCs w:val="18"/>
              </w:rPr>
            </w:pPr>
            <w:r>
              <w:rPr>
                <w:rFonts w:hint="eastAsia" w:ascii="Calibri" w:hAnsi="Calibri"/>
                <w:color w:val="auto"/>
                <w:kern w:val="0"/>
                <w:sz w:val="18"/>
                <w:szCs w:val="18"/>
              </w:rPr>
              <w:t>★</w:t>
            </w:r>
            <w:r>
              <w:rPr>
                <w:rFonts w:hint="eastAsia" w:ascii="宋体" w:hAnsi="宋体" w:cs="宋体"/>
                <w:color w:val="auto"/>
                <w:kern w:val="0"/>
                <w:sz w:val="18"/>
                <w:szCs w:val="18"/>
              </w:rPr>
              <w:t xml:space="preserve">4、表面喷涂质量要求：塑粉（热固性粉末）符合HG/T 2006-2022《热固性和热塑性粉末涂料》GB 18581-2020《木器涂料中有害物质限量》GB/T 1768-2006《色漆和清漆耐磨性的测定旋转橡胶砂轮法》GB/T 34706-2017《涂料中有机锡含量的测定气质联用法》，GB/T 36497-2018《涂料中多氯联苯的测定》*HG/T 3950-2007《抗菌涂料》《企业产品技术要求》抗细菌性能抗细菌率-肺炎克雷伯氏菌≧99%、抗霉菌性能长霉等级-土曲霉长霉等级达到0级、耐磨性≧30mg、I型1类热固性粉末涂料的要求耐酸性240h无异常；耐碱性168h无异常、有害物质限量的限量值要求可溶性重金属含量：镉（Cd）≤75mg/kg、铬（Cr）≤60mg/kg、汞（Hg）≤60mg/kg未检出、多氯联苯含量总和≤1.0mg/kg未检出、涂料中有机锡含量一甲基锡(MeT)二丙基锡(DProT)一丁基锡(MBT)二丁基锡(DBT)三丁基锡(TBT)四丁基锡(TeBT)一辛基锡(MOT)二辛基锡(DOT)二苯基锡(DPHT)三苯基锡(TPHT)≤30mg/kg                                                    </w:t>
            </w:r>
          </w:p>
          <w:p w14:paraId="5C1DFDAE">
            <w:pPr>
              <w:widowControl/>
              <w:jc w:val="left"/>
              <w:rPr>
                <w:rFonts w:ascii="宋体" w:hAnsi="宋体" w:cs="宋体"/>
                <w:color w:val="auto"/>
                <w:kern w:val="0"/>
                <w:sz w:val="18"/>
                <w:szCs w:val="18"/>
              </w:rPr>
            </w:pPr>
            <w:r>
              <w:rPr>
                <w:rFonts w:hint="eastAsia" w:ascii="宋体" w:hAnsi="宋体" w:cs="宋体"/>
                <w:color w:val="auto"/>
                <w:kern w:val="0"/>
                <w:sz w:val="18"/>
                <w:szCs w:val="18"/>
              </w:rPr>
              <w:t>5、五金配件：采用优质品牌五金配件，无锈蚀，具有足够的承载能力、耐腐蚀能力。</w:t>
            </w:r>
            <w:bookmarkStart w:id="5" w:name="OLE_LINK14"/>
            <w:bookmarkStart w:id="6" w:name="OLE_LINK15"/>
            <w:r>
              <w:rPr>
                <w:rFonts w:hint="eastAsia" w:ascii="宋体" w:hAnsi="宋体" w:cs="宋体"/>
                <w:color w:val="auto"/>
                <w:kern w:val="0"/>
                <w:sz w:val="18"/>
                <w:szCs w:val="18"/>
              </w:rPr>
              <w:t>投标时需检测报告复印件，原件备查</w:t>
            </w:r>
            <w:bookmarkEnd w:id="5"/>
            <w:bookmarkEnd w:id="6"/>
          </w:p>
          <w:p w14:paraId="64F13F6A">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6、配方凳6张/套方凳尺寸为320*220*420mm凳架整体使用25*25*1.2mm厚方管焊接成型，脚套采用白色，内塞脚垫外露不少于，7MM，内塞入不少于20MM加强筋不少于4圈，脚垫采用高分子PE材料一次性注塑成型，不接受3D打印工艺，脚垫与凳管应结合紧密，牢靠，不脱落。                                               </w:t>
            </w:r>
          </w:p>
          <w:p w14:paraId="17ADBC23">
            <w:pPr>
              <w:widowControl/>
              <w:jc w:val="left"/>
              <w:rPr>
                <w:rFonts w:ascii="宋体" w:hAnsi="宋体" w:cs="宋体"/>
                <w:color w:val="auto"/>
                <w:kern w:val="0"/>
                <w:sz w:val="18"/>
                <w:szCs w:val="18"/>
              </w:rPr>
            </w:pPr>
            <w:r>
              <w:rPr>
                <w:rFonts w:hint="eastAsia" w:ascii="宋体" w:hAnsi="宋体" w:cs="宋体"/>
                <w:color w:val="auto"/>
                <w:kern w:val="0"/>
                <w:sz w:val="18"/>
                <w:szCs w:val="18"/>
              </w:rPr>
              <w:t>7、五金配件：采用优质品牌五金配件，无锈蚀，具有足够的承载能力、耐腐蚀能力</w:t>
            </w:r>
          </w:p>
        </w:tc>
        <w:tc>
          <w:tcPr>
            <w:tcW w:w="464" w:type="pct"/>
            <w:vAlign w:val="center"/>
          </w:tcPr>
          <w:p w14:paraId="5826D73C">
            <w:pPr>
              <w:jc w:val="center"/>
              <w:rPr>
                <w:rFonts w:ascii="新宋体" w:hAnsi="新宋体" w:eastAsia="新宋体" w:cs="宋体"/>
                <w:color w:val="auto"/>
                <w:sz w:val="18"/>
                <w:szCs w:val="18"/>
              </w:rPr>
            </w:pPr>
            <w:r>
              <w:rPr>
                <w:rFonts w:hint="eastAsia" w:ascii="新宋体" w:hAnsi="新宋体" w:eastAsia="新宋体"/>
                <w:color w:val="auto"/>
                <w:sz w:val="18"/>
                <w:szCs w:val="18"/>
              </w:rPr>
              <w:t>6</w:t>
            </w:r>
          </w:p>
        </w:tc>
        <w:tc>
          <w:tcPr>
            <w:tcW w:w="311" w:type="pct"/>
            <w:vAlign w:val="center"/>
          </w:tcPr>
          <w:p w14:paraId="6E413928">
            <w:pPr>
              <w:jc w:val="center"/>
              <w:rPr>
                <w:rFonts w:ascii="新宋体" w:hAnsi="新宋体" w:eastAsia="新宋体" w:cs="宋体"/>
                <w:color w:val="auto"/>
                <w:sz w:val="18"/>
                <w:szCs w:val="18"/>
              </w:rPr>
            </w:pPr>
            <w:r>
              <w:rPr>
                <w:rFonts w:hint="eastAsia" w:ascii="新宋体" w:hAnsi="新宋体" w:eastAsia="新宋体"/>
                <w:color w:val="auto"/>
                <w:sz w:val="18"/>
                <w:szCs w:val="18"/>
              </w:rPr>
              <w:t>套</w:t>
            </w:r>
          </w:p>
        </w:tc>
      </w:tr>
      <w:tr w14:paraId="4AFA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307" w:type="pct"/>
            <w:vAlign w:val="center"/>
          </w:tcPr>
          <w:p w14:paraId="655952CA">
            <w:pPr>
              <w:widowControl/>
              <w:jc w:val="center"/>
              <w:rPr>
                <w:rFonts w:ascii="宋体" w:hAnsi="宋体" w:cs="宋体"/>
                <w:color w:val="auto"/>
                <w:kern w:val="0"/>
                <w:sz w:val="18"/>
                <w:szCs w:val="18"/>
              </w:rPr>
            </w:pPr>
            <w:r>
              <w:rPr>
                <w:rFonts w:hint="eastAsia" w:ascii="宋体" w:hAnsi="宋体" w:cs="宋体"/>
                <w:color w:val="auto"/>
                <w:kern w:val="0"/>
                <w:sz w:val="18"/>
                <w:szCs w:val="18"/>
              </w:rPr>
              <w:t>19</w:t>
            </w:r>
          </w:p>
        </w:tc>
        <w:tc>
          <w:tcPr>
            <w:tcW w:w="542" w:type="pct"/>
            <w:vAlign w:val="center"/>
          </w:tcPr>
          <w:p w14:paraId="6103AF2D">
            <w:pPr>
              <w:jc w:val="center"/>
              <w:rPr>
                <w:rFonts w:ascii="新宋体" w:hAnsi="新宋体" w:eastAsia="新宋体" w:cs="宋体"/>
                <w:color w:val="auto"/>
                <w:sz w:val="18"/>
                <w:szCs w:val="18"/>
              </w:rPr>
            </w:pPr>
            <w:r>
              <w:rPr>
                <w:rFonts w:hint="eastAsia" w:ascii="新宋体" w:hAnsi="新宋体" w:eastAsia="新宋体"/>
                <w:color w:val="auto"/>
                <w:sz w:val="18"/>
                <w:szCs w:val="18"/>
              </w:rPr>
              <w:t>智慧黑板</w:t>
            </w:r>
          </w:p>
        </w:tc>
        <w:tc>
          <w:tcPr>
            <w:tcW w:w="3376" w:type="pct"/>
            <w:vAlign w:val="center"/>
          </w:tcPr>
          <w:p w14:paraId="3C9388FD">
            <w:pPr>
              <w:jc w:val="left"/>
              <w:rPr>
                <w:rFonts w:ascii="宋体" w:hAnsi="宋体" w:cs="宋体"/>
                <w:color w:val="auto"/>
                <w:sz w:val="18"/>
                <w:szCs w:val="18"/>
              </w:rPr>
            </w:pPr>
            <w:r>
              <w:rPr>
                <w:rFonts w:hint="eastAsia" w:ascii="Calibri" w:hAnsi="Calibri"/>
                <w:color w:val="auto"/>
                <w:sz w:val="18"/>
                <w:szCs w:val="18"/>
              </w:rPr>
              <w:t>一、智能安全及桌面管理系统</w:t>
            </w:r>
            <w:r>
              <w:rPr>
                <w:rFonts w:hint="eastAsia" w:ascii="Calibri" w:hAnsi="Calibri"/>
                <w:color w:val="auto"/>
                <w:sz w:val="18"/>
                <w:szCs w:val="18"/>
              </w:rPr>
              <w:br w:type="textWrapping"/>
            </w:r>
            <w:r>
              <w:rPr>
                <w:rFonts w:hint="eastAsia" w:ascii="Calibri" w:hAnsi="Calibri"/>
                <w:color w:val="auto"/>
                <w:sz w:val="18"/>
                <w:szCs w:val="18"/>
              </w:rPr>
              <w:t>1.支持热插拔功能，无需安装驱动程序。</w:t>
            </w:r>
            <w:r>
              <w:rPr>
                <w:rFonts w:hint="eastAsia" w:ascii="Calibri" w:hAnsi="Calibri"/>
                <w:color w:val="auto"/>
                <w:sz w:val="18"/>
                <w:szCs w:val="18"/>
              </w:rPr>
              <w:br w:type="textWrapping"/>
            </w:r>
            <w:r>
              <w:rPr>
                <w:rFonts w:hint="eastAsia" w:ascii="Calibri" w:hAnsi="Calibri"/>
                <w:color w:val="auto"/>
                <w:sz w:val="18"/>
                <w:szCs w:val="18"/>
              </w:rPr>
              <w:t>2.首次配置后设备将自动进入安全锁定状态，无论操作系统、鼠标、触摸屏或机身按键均会被锁定，无法正常使用。</w:t>
            </w:r>
            <w:r>
              <w:rPr>
                <w:rFonts w:hint="eastAsia" w:ascii="Calibri" w:hAnsi="Calibri"/>
                <w:color w:val="auto"/>
                <w:sz w:val="18"/>
                <w:szCs w:val="18"/>
              </w:rPr>
              <w:br w:type="textWrapping"/>
            </w:r>
            <w:r>
              <w:rPr>
                <w:rFonts w:hint="eastAsia" w:ascii="Calibri" w:hAnsi="Calibri"/>
                <w:color w:val="auto"/>
                <w:sz w:val="18"/>
                <w:szCs w:val="18"/>
              </w:rPr>
              <w:t>3.安全密钥拔出时，终端设备将一直保持锁定状态，无法操作（包括按键开关机）；安全密钥插入后，设备将无缝恢复成可正常操作的状态。</w:t>
            </w:r>
            <w:r>
              <w:rPr>
                <w:rFonts w:hint="eastAsia" w:ascii="Calibri" w:hAnsi="Calibri"/>
                <w:color w:val="auto"/>
                <w:sz w:val="18"/>
                <w:szCs w:val="18"/>
              </w:rPr>
              <w:br w:type="textWrapping"/>
            </w:r>
            <w:r>
              <w:rPr>
                <w:rFonts w:hint="eastAsia" w:ascii="Calibri" w:hAnsi="Calibri"/>
                <w:color w:val="auto"/>
                <w:sz w:val="18"/>
                <w:szCs w:val="18"/>
              </w:rPr>
              <w:t>4.支持查看设备温度、分辨率、配置参数、核心部件使用率等信息，如设备出现故障可实时检测问题所在。</w:t>
            </w:r>
            <w:r>
              <w:rPr>
                <w:rFonts w:hint="eastAsia" w:ascii="Calibri" w:hAnsi="Calibri"/>
                <w:color w:val="auto"/>
                <w:sz w:val="18"/>
                <w:szCs w:val="18"/>
              </w:rPr>
              <w:br w:type="textWrapping"/>
            </w:r>
            <w:r>
              <w:rPr>
                <w:rFonts w:hint="eastAsia" w:ascii="Calibri" w:hAnsi="Calibri"/>
                <w:color w:val="auto"/>
                <w:sz w:val="18"/>
                <w:szCs w:val="18"/>
              </w:rPr>
              <w:t>5.将教师常用的教学应用软件罗列在一个工具栏内，方便教师调用软件。单击即可打开其中的软件，简化老师操作。</w:t>
            </w:r>
            <w:r>
              <w:rPr>
                <w:rFonts w:hint="eastAsia" w:ascii="Calibri" w:hAnsi="Calibri"/>
                <w:color w:val="auto"/>
                <w:sz w:val="18"/>
                <w:szCs w:val="18"/>
              </w:rPr>
              <w:br w:type="textWrapping"/>
            </w:r>
            <w:r>
              <w:rPr>
                <w:rFonts w:hint="eastAsia" w:ascii="Calibri" w:hAnsi="Calibri"/>
                <w:color w:val="auto"/>
                <w:sz w:val="18"/>
                <w:szCs w:val="18"/>
              </w:rPr>
              <w:t>6.在桌面工具栏内具有注销按键，单击即可一键注销Windows。</w:t>
            </w:r>
            <w:r>
              <w:rPr>
                <w:rFonts w:hint="eastAsia" w:ascii="Calibri" w:hAnsi="Calibri"/>
                <w:color w:val="auto"/>
                <w:sz w:val="18"/>
                <w:szCs w:val="18"/>
              </w:rPr>
              <w:br w:type="textWrapping"/>
            </w:r>
            <w:r>
              <w:rPr>
                <w:rFonts w:hint="eastAsia" w:ascii="Calibri" w:hAnsi="Calibri"/>
                <w:color w:val="auto"/>
                <w:sz w:val="18"/>
                <w:szCs w:val="18"/>
              </w:rPr>
              <w:t xml:space="preserve">7.在桌面工具栏内具有设置功能，可对设备进行相关设置： </w:t>
            </w:r>
            <w:r>
              <w:rPr>
                <w:rFonts w:hint="eastAsia" w:ascii="Calibri" w:hAnsi="Calibri"/>
                <w:color w:val="auto"/>
                <w:sz w:val="18"/>
                <w:szCs w:val="18"/>
              </w:rPr>
              <w:br w:type="textWrapping"/>
            </w:r>
            <w:r>
              <w:rPr>
                <w:rFonts w:hint="eastAsia" w:ascii="Calibri" w:hAnsi="Calibri"/>
                <w:color w:val="auto"/>
                <w:sz w:val="18"/>
                <w:szCs w:val="18"/>
              </w:rPr>
              <w:t>8.支持屏蔽第三方窗口功能，防止上课期间的广告弹出。</w:t>
            </w:r>
            <w:r>
              <w:rPr>
                <w:rFonts w:hint="eastAsia" w:ascii="Calibri" w:hAnsi="Calibri"/>
                <w:color w:val="auto"/>
                <w:sz w:val="18"/>
                <w:szCs w:val="18"/>
              </w:rPr>
              <w:br w:type="textWrapping"/>
            </w:r>
            <w:r>
              <w:rPr>
                <w:rFonts w:hint="eastAsia" w:ascii="Calibri" w:hAnsi="Calibri"/>
                <w:color w:val="auto"/>
                <w:sz w:val="18"/>
                <w:szCs w:val="18"/>
              </w:rPr>
              <w:t>9.支持查看设备基本信息，比如：尺寸、分辨率、系统、CPU、内存、硬盘、安卓版本等信息，支持设置对应班级名称。</w:t>
            </w:r>
            <w:r>
              <w:rPr>
                <w:rFonts w:hint="eastAsia" w:ascii="Calibri" w:hAnsi="Calibri"/>
                <w:color w:val="auto"/>
                <w:sz w:val="18"/>
                <w:szCs w:val="18"/>
              </w:rPr>
              <w:br w:type="textWrapping"/>
            </w:r>
            <w:r>
              <w:rPr>
                <w:rFonts w:hint="eastAsia" w:ascii="Calibri" w:hAnsi="Calibri"/>
                <w:color w:val="auto"/>
                <w:sz w:val="18"/>
                <w:szCs w:val="18"/>
              </w:rPr>
              <w:t>二、显示性能要求</w:t>
            </w:r>
            <w:r>
              <w:rPr>
                <w:rFonts w:hint="eastAsia" w:ascii="Calibri" w:hAnsi="Calibri"/>
                <w:color w:val="auto"/>
                <w:sz w:val="18"/>
                <w:szCs w:val="18"/>
              </w:rPr>
              <w:br w:type="textWrapping"/>
            </w:r>
            <w:r>
              <w:rPr>
                <w:rFonts w:hint="eastAsia" w:ascii="Calibri" w:hAnsi="Calibri"/>
                <w:color w:val="auto"/>
                <w:sz w:val="18"/>
                <w:szCs w:val="18"/>
              </w:rPr>
              <w:t>1.整机色域覆盖率（NTSC）≥72%</w:t>
            </w:r>
            <w:r>
              <w:rPr>
                <w:rFonts w:hint="eastAsia" w:ascii="Calibri" w:hAnsi="Calibri"/>
                <w:color w:val="auto"/>
                <w:sz w:val="18"/>
                <w:szCs w:val="18"/>
              </w:rPr>
              <w:br w:type="textWrapping"/>
            </w:r>
            <w:r>
              <w:rPr>
                <w:rFonts w:hint="eastAsia" w:ascii="Calibri" w:hAnsi="Calibri"/>
                <w:color w:val="auto"/>
                <w:sz w:val="18"/>
                <w:szCs w:val="18"/>
              </w:rPr>
              <w:t>2.整机背光系统支持DC调光方式，多级亮度调节，支持白颜色背景下最暗亮度≤100nit，用于提升显示对比度。</w:t>
            </w:r>
            <w:r>
              <w:rPr>
                <w:rFonts w:hint="eastAsia" w:ascii="Calibri" w:hAnsi="Calibri"/>
                <w:color w:val="auto"/>
                <w:sz w:val="18"/>
                <w:szCs w:val="18"/>
              </w:rPr>
              <w:br w:type="textWrapping"/>
            </w:r>
            <w:r>
              <w:rPr>
                <w:rFonts w:hint="eastAsia" w:ascii="Calibri" w:hAnsi="Calibri"/>
                <w:color w:val="auto"/>
                <w:sz w:val="18"/>
                <w:szCs w:val="18"/>
              </w:rPr>
              <w:t>3.灰度等级≥256级。</w:t>
            </w:r>
            <w:r>
              <w:rPr>
                <w:rFonts w:hint="eastAsia" w:ascii="Calibri" w:hAnsi="Calibri"/>
                <w:color w:val="auto"/>
                <w:sz w:val="18"/>
                <w:szCs w:val="18"/>
              </w:rPr>
              <w:br w:type="textWrapping"/>
            </w:r>
            <w:bookmarkStart w:id="7" w:name="OLE_LINK2"/>
            <w:bookmarkStart w:id="8" w:name="OLE_LINK1"/>
            <w:r>
              <w:rPr>
                <w:rFonts w:hint="eastAsia" w:ascii="Calibri" w:hAnsi="Calibri"/>
                <w:color w:val="auto"/>
                <w:sz w:val="18"/>
                <w:szCs w:val="18"/>
              </w:rPr>
              <w:t>★</w:t>
            </w:r>
            <w:bookmarkEnd w:id="7"/>
            <w:bookmarkEnd w:id="8"/>
            <w:r>
              <w:rPr>
                <w:rFonts w:hint="eastAsia" w:ascii="Calibri" w:hAnsi="Calibri"/>
                <w:color w:val="auto"/>
                <w:sz w:val="18"/>
                <w:szCs w:val="18"/>
              </w:rPr>
              <w:t>4.整机支持色彩空间可选，包含标准模式和sRGB模式，在sRGB模式下可做到高色准△E≤1（响应文件中须提供国家认可的第三方检测机构出具的有关该功能检测报告复印件）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5.整机采用硬件低蓝光背光技术，在源头减少有害蓝光波段能量，蓝光占比（有害蓝光415～455nm能量综合）/（整体蓝光400～500能量综合）＜50%，低蓝光保护显示不偏色、不泛黄。</w:t>
            </w:r>
            <w:r>
              <w:rPr>
                <w:rFonts w:hint="eastAsia" w:ascii="Calibri" w:hAnsi="Calibri"/>
                <w:color w:val="auto"/>
                <w:sz w:val="18"/>
                <w:szCs w:val="18"/>
              </w:rPr>
              <w:br w:type="textWrapping"/>
            </w:r>
            <w:r>
              <w:rPr>
                <w:rFonts w:hint="eastAsia" w:ascii="Calibri" w:hAnsi="Calibri"/>
                <w:color w:val="auto"/>
                <w:sz w:val="18"/>
                <w:szCs w:val="18"/>
              </w:rPr>
              <w:t>6.整机视网膜蓝光危害（蓝光加权辐射亮度LB）满足IEC TR 62778:2014蓝光危害RG0级别</w:t>
            </w:r>
            <w:r>
              <w:rPr>
                <w:rFonts w:hint="eastAsia" w:ascii="Calibri" w:hAnsi="Calibri"/>
                <w:color w:val="auto"/>
                <w:sz w:val="18"/>
                <w:szCs w:val="18"/>
              </w:rPr>
              <w:br w:type="textWrapping"/>
            </w:r>
            <w:r>
              <w:rPr>
                <w:rFonts w:hint="eastAsia" w:ascii="Calibri" w:hAnsi="Calibri"/>
                <w:color w:val="auto"/>
                <w:sz w:val="18"/>
                <w:szCs w:val="18"/>
              </w:rPr>
              <w:t>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Calibri" w:hAnsi="Calibri"/>
                <w:color w:val="auto"/>
                <w:sz w:val="18"/>
                <w:szCs w:val="18"/>
              </w:rPr>
              <w:br w:type="textWrapping"/>
            </w:r>
            <w:r>
              <w:rPr>
                <w:rFonts w:hint="eastAsia" w:ascii="Calibri" w:hAnsi="Calibri"/>
                <w:color w:val="auto"/>
                <w:sz w:val="18"/>
                <w:szCs w:val="18"/>
              </w:rPr>
              <w:t>8.整机全通道支持纸质护眼模式，可实现画面纹理的实时调整；支持纸质纹理：牛皮纸、素描纸、宣纸、水彩纸、水纹纸；支持透明度调节；支持色温调节。（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三、整体设计</w:t>
            </w:r>
            <w:r>
              <w:rPr>
                <w:rFonts w:hint="eastAsia" w:ascii="Calibri" w:hAnsi="Calibri"/>
                <w:color w:val="auto"/>
                <w:sz w:val="18"/>
                <w:szCs w:val="18"/>
              </w:rPr>
              <w:br w:type="textWrapping"/>
            </w:r>
            <w:r>
              <w:rPr>
                <w:rFonts w:hint="eastAsia" w:ascii="Calibri" w:hAnsi="Calibri"/>
                <w:color w:val="auto"/>
                <w:sz w:val="18"/>
                <w:szCs w:val="18"/>
              </w:rPr>
              <w:t>1.整机采用全金属外壳，三拼接平面一体化设计，屏幕边缘采用圆角包边防护，整机背板采用金属材质。</w:t>
            </w:r>
            <w:r>
              <w:rPr>
                <w:rFonts w:hint="eastAsia" w:ascii="Calibri" w:hAnsi="Calibri"/>
                <w:color w:val="auto"/>
                <w:sz w:val="18"/>
                <w:szCs w:val="18"/>
              </w:rPr>
              <w:br w:type="textWrapping"/>
            </w:r>
            <w:r>
              <w:rPr>
                <w:rFonts w:hint="eastAsia" w:ascii="Calibri" w:hAnsi="Calibri"/>
                <w:color w:val="auto"/>
                <w:sz w:val="18"/>
                <w:szCs w:val="18"/>
              </w:rPr>
              <w:t>2.整机屏幕边缘采用金属圆角包边防护，整机背板采用金属材质，有效屏蔽内部电路器件辐射；防潮耐盐雾蚀锈，适应多种教学环境。</w:t>
            </w:r>
            <w:r>
              <w:rPr>
                <w:rFonts w:hint="eastAsia" w:ascii="Calibri" w:hAnsi="Calibri"/>
                <w:color w:val="auto"/>
                <w:sz w:val="18"/>
                <w:szCs w:val="18"/>
              </w:rPr>
              <w:br w:type="textWrapping"/>
            </w:r>
            <w:r>
              <w:rPr>
                <w:rFonts w:hint="eastAsia" w:ascii="Calibri" w:hAnsi="Calibri"/>
                <w:color w:val="auto"/>
                <w:sz w:val="18"/>
                <w:szCs w:val="18"/>
              </w:rPr>
              <w:t>3.无推拉式结构，外部无任何可见内部功能模块连接线。主副屏过渡平滑，中间无单独边框阻隔。</w:t>
            </w:r>
            <w:r>
              <w:rPr>
                <w:rFonts w:hint="eastAsia" w:ascii="Calibri" w:hAnsi="Calibri"/>
                <w:color w:val="auto"/>
                <w:sz w:val="18"/>
                <w:szCs w:val="18"/>
              </w:rPr>
              <w:br w:type="textWrapping"/>
            </w:r>
            <w:r>
              <w:rPr>
                <w:rFonts w:hint="eastAsia" w:ascii="Calibri" w:hAnsi="Calibri"/>
                <w:color w:val="auto"/>
                <w:sz w:val="18"/>
                <w:szCs w:val="18"/>
              </w:rPr>
              <w:t>4.整体外观尺寸：宽≥4200mm，高≥1200mm，厚≤106mm</w:t>
            </w:r>
            <w:r>
              <w:rPr>
                <w:rFonts w:hint="eastAsia" w:ascii="Calibri" w:hAnsi="Calibri"/>
                <w:color w:val="auto"/>
                <w:sz w:val="18"/>
                <w:szCs w:val="18"/>
              </w:rPr>
              <w:br w:type="textWrapping"/>
            </w:r>
            <w:r>
              <w:rPr>
                <w:rFonts w:hint="eastAsia" w:ascii="Calibri" w:hAnsi="Calibri"/>
                <w:color w:val="auto"/>
                <w:sz w:val="18"/>
                <w:szCs w:val="18"/>
              </w:rPr>
              <w:t>5.主屏支持普通粉笔直接书写。，整机两侧副屏可支持以下媒介（普通粉笔、液体粉笔、成膜笔）进行板书书写。</w:t>
            </w:r>
            <w:r>
              <w:rPr>
                <w:rFonts w:hint="eastAsia" w:ascii="Calibri" w:hAnsi="Calibri"/>
                <w:color w:val="auto"/>
                <w:sz w:val="18"/>
                <w:szCs w:val="18"/>
              </w:rPr>
              <w:br w:type="textWrapping"/>
            </w:r>
            <w:r>
              <w:rPr>
                <w:rFonts w:hint="eastAsia" w:ascii="Calibri" w:hAnsi="Calibri"/>
                <w:color w:val="auto"/>
                <w:sz w:val="18"/>
                <w:szCs w:val="18"/>
              </w:rPr>
              <w:t>6.整机设备副屏支持磁吸附功能，可以满足带有磁吸的板擦等教具进行吸附在副屏上。</w:t>
            </w:r>
            <w:r>
              <w:rPr>
                <w:rFonts w:hint="eastAsia" w:ascii="Calibri" w:hAnsi="Calibri"/>
                <w:color w:val="auto"/>
                <w:sz w:val="18"/>
                <w:szCs w:val="18"/>
              </w:rPr>
              <w:br w:type="textWrapping"/>
            </w:r>
            <w:r>
              <w:rPr>
                <w:rFonts w:hint="eastAsia" w:ascii="Calibri" w:hAnsi="Calibri"/>
                <w:color w:val="auto"/>
                <w:sz w:val="18"/>
                <w:szCs w:val="18"/>
              </w:rPr>
              <w:t>四、内置电脑系统要求</w:t>
            </w:r>
            <w:r>
              <w:rPr>
                <w:rFonts w:hint="eastAsia" w:ascii="Calibri" w:hAnsi="Calibri"/>
                <w:color w:val="auto"/>
                <w:sz w:val="18"/>
                <w:szCs w:val="18"/>
              </w:rPr>
              <w:br w:type="textWrapping"/>
            </w:r>
            <w:r>
              <w:rPr>
                <w:rFonts w:hint="eastAsia" w:ascii="Calibri" w:hAnsi="Calibri"/>
                <w:color w:val="auto"/>
                <w:sz w:val="18"/>
                <w:szCs w:val="18"/>
              </w:rPr>
              <w:t>1.采用抽拉内置式模块化电脑，抽拉内置式，PC模块可插入整机，可实现无单独接线的插拔。无需工具即可快速拆卸电脑模块。</w:t>
            </w:r>
            <w:r>
              <w:rPr>
                <w:rFonts w:hint="eastAsia" w:ascii="Calibri" w:hAnsi="Calibri"/>
                <w:color w:val="auto"/>
                <w:sz w:val="18"/>
                <w:szCs w:val="18"/>
              </w:rPr>
              <w:br w:type="textWrapping"/>
            </w:r>
            <w:r>
              <w:rPr>
                <w:rFonts w:hint="eastAsia" w:ascii="Calibri" w:hAnsi="Calibri"/>
                <w:color w:val="auto"/>
                <w:sz w:val="18"/>
                <w:szCs w:val="18"/>
              </w:rPr>
              <w:t>2.搭载Intel 12代酷睿i5或以上配置CPU，内存：8 GB DDR4笔记本内存或以上配置。硬盘：256 GB SSD固态硬盘或以上配置。</w:t>
            </w:r>
            <w:r>
              <w:rPr>
                <w:rFonts w:hint="eastAsia" w:ascii="Calibri" w:hAnsi="Calibri"/>
                <w:color w:val="auto"/>
                <w:sz w:val="18"/>
                <w:szCs w:val="18"/>
              </w:rPr>
              <w:br w:type="textWrapping"/>
            </w:r>
            <w:r>
              <w:rPr>
                <w:rFonts w:hint="eastAsia" w:ascii="Calibri" w:hAnsi="Calibri"/>
                <w:color w:val="auto"/>
                <w:sz w:val="18"/>
                <w:szCs w:val="18"/>
              </w:rPr>
              <w:t>3.采用按压式卡扣，无需工具即可快速拆卸电脑模块。</w:t>
            </w:r>
            <w:r>
              <w:rPr>
                <w:rFonts w:hint="eastAsia" w:ascii="Calibri" w:hAnsi="Calibri"/>
                <w:color w:val="auto"/>
                <w:sz w:val="18"/>
                <w:szCs w:val="18"/>
              </w:rPr>
              <w:br w:type="textWrapping"/>
            </w:r>
            <w:r>
              <w:rPr>
                <w:rFonts w:hint="eastAsia" w:ascii="Calibri" w:hAnsi="Calibri"/>
                <w:color w:val="auto"/>
                <w:sz w:val="18"/>
                <w:szCs w:val="18"/>
              </w:rPr>
              <w:t>4.PC 模块可抽拉式插入整机，可实现无单独接线的拔插。</w:t>
            </w:r>
            <w:r>
              <w:rPr>
                <w:rFonts w:hint="eastAsia" w:ascii="Calibri" w:hAnsi="Calibri"/>
                <w:color w:val="auto"/>
                <w:sz w:val="18"/>
                <w:szCs w:val="18"/>
              </w:rPr>
              <w:br w:type="textWrapping"/>
            </w:r>
            <w:r>
              <w:rPr>
                <w:rFonts w:hint="eastAsia" w:ascii="Calibri" w:hAnsi="Calibri"/>
                <w:color w:val="auto"/>
                <w:sz w:val="18"/>
                <w:szCs w:val="18"/>
              </w:rPr>
              <w:t>5.具有独立非外拓展的视频输出接口：≥1 路 HDMI。</w:t>
            </w:r>
            <w:r>
              <w:rPr>
                <w:rFonts w:hint="eastAsia" w:ascii="Calibri" w:hAnsi="Calibri"/>
                <w:color w:val="auto"/>
                <w:sz w:val="18"/>
                <w:szCs w:val="18"/>
              </w:rPr>
              <w:br w:type="textWrapping"/>
            </w:r>
            <w:r>
              <w:rPr>
                <w:rFonts w:hint="eastAsia" w:ascii="Calibri" w:hAnsi="Calibri"/>
                <w:color w:val="auto"/>
                <w:sz w:val="18"/>
                <w:szCs w:val="18"/>
              </w:rPr>
              <w:t>6.具有独立非外拓展的电脑 USB 接口：至少具备 3个USB3.0 接口。</w:t>
            </w:r>
            <w:r>
              <w:rPr>
                <w:rFonts w:hint="eastAsia" w:ascii="Calibri" w:hAnsi="Calibri"/>
                <w:color w:val="auto"/>
                <w:sz w:val="18"/>
                <w:szCs w:val="18"/>
              </w:rPr>
              <w:br w:type="textWrapping"/>
            </w:r>
            <w:r>
              <w:rPr>
                <w:rFonts w:hint="eastAsia" w:ascii="Calibri" w:hAnsi="Calibri"/>
                <w:color w:val="auto"/>
                <w:sz w:val="18"/>
                <w:szCs w:val="18"/>
              </w:rPr>
              <w:t>7.具有标准 PC 防盗锁孔，确保电脑模块安全防盗。</w:t>
            </w:r>
            <w:r>
              <w:rPr>
                <w:rFonts w:hint="eastAsia" w:ascii="Calibri" w:hAnsi="Calibri"/>
                <w:color w:val="auto"/>
                <w:sz w:val="18"/>
                <w:szCs w:val="18"/>
              </w:rPr>
              <w:br w:type="textWrapping"/>
            </w:r>
            <w:r>
              <w:rPr>
                <w:rFonts w:hint="eastAsia" w:ascii="Calibri" w:hAnsi="Calibri"/>
                <w:color w:val="auto"/>
                <w:sz w:val="18"/>
                <w:szCs w:val="18"/>
              </w:rPr>
              <w:t>8.和整机的连接采用万兆级接口，传输速率≥10Gbps。</w:t>
            </w:r>
            <w:r>
              <w:rPr>
                <w:rFonts w:hint="eastAsia" w:ascii="Calibri" w:hAnsi="Calibri"/>
                <w:color w:val="auto"/>
                <w:sz w:val="18"/>
                <w:szCs w:val="18"/>
              </w:rPr>
              <w:br w:type="textWrapping"/>
            </w:r>
            <w:r>
              <w:rPr>
                <w:rFonts w:hint="eastAsia" w:ascii="Calibri" w:hAnsi="Calibri"/>
                <w:color w:val="auto"/>
                <w:sz w:val="18"/>
                <w:szCs w:val="18"/>
              </w:rPr>
              <w:t>五、无线模块配置</w:t>
            </w:r>
            <w:r>
              <w:rPr>
                <w:rFonts w:hint="eastAsia" w:ascii="Calibri" w:hAnsi="Calibri"/>
                <w:color w:val="auto"/>
                <w:sz w:val="18"/>
                <w:szCs w:val="18"/>
              </w:rPr>
              <w:br w:type="textWrapping"/>
            </w:r>
            <w:r>
              <w:rPr>
                <w:rFonts w:hint="eastAsia" w:ascii="Calibri" w:hAnsi="Calibri"/>
                <w:color w:val="auto"/>
                <w:sz w:val="18"/>
                <w:szCs w:val="18"/>
              </w:rPr>
              <w:t>1.整机无需外接无线网卡，在Android和Windows系统下可实现Wi-Fi无线上网连接、AP无线热点发射和BT蓝牙连接功能。</w:t>
            </w:r>
            <w:r>
              <w:rPr>
                <w:rFonts w:hint="eastAsia" w:ascii="Calibri" w:hAnsi="Calibri"/>
                <w:color w:val="auto"/>
                <w:sz w:val="18"/>
                <w:szCs w:val="18"/>
              </w:rPr>
              <w:br w:type="textWrapping"/>
            </w:r>
            <w:r>
              <w:rPr>
                <w:rFonts w:hint="eastAsia" w:ascii="Calibri" w:hAnsi="Calibri"/>
                <w:color w:val="auto"/>
                <w:sz w:val="18"/>
                <w:szCs w:val="18"/>
              </w:rPr>
              <w:t>2.Wi-Fi和AP热点工作距离≥12m。</w:t>
            </w:r>
            <w:r>
              <w:rPr>
                <w:rFonts w:hint="eastAsia" w:ascii="Calibri" w:hAnsi="Calibri"/>
                <w:color w:val="auto"/>
                <w:sz w:val="18"/>
                <w:szCs w:val="18"/>
              </w:rPr>
              <w:br w:type="textWrapping"/>
            </w:r>
            <w:r>
              <w:rPr>
                <w:rFonts w:hint="eastAsia" w:ascii="Calibri" w:hAnsi="Calibri"/>
                <w:color w:val="auto"/>
                <w:sz w:val="18"/>
                <w:szCs w:val="18"/>
              </w:rPr>
              <w:t>3.整机支持蓝牙Bluetooth 5.4标准，固件版本号HCI13.0/LMP13.0。</w:t>
            </w:r>
            <w:r>
              <w:rPr>
                <w:rFonts w:hint="eastAsia" w:ascii="Calibri" w:hAnsi="Calibri"/>
                <w:color w:val="auto"/>
                <w:sz w:val="18"/>
                <w:szCs w:val="18"/>
              </w:rPr>
              <w:br w:type="textWrapping"/>
            </w:r>
            <w:r>
              <w:rPr>
                <w:rFonts w:hint="eastAsia" w:ascii="Calibri" w:hAnsi="Calibri"/>
                <w:color w:val="auto"/>
                <w:sz w:val="18"/>
                <w:szCs w:val="18"/>
              </w:rPr>
              <w:t>4.整机支持发出频率为18kHz-22kHz超声波信号，智能手机通过麦克风接收后，智能手机与整机无需在同一局域网内，可实现配对，一键投屏，用户无需手动输入投屏码或扫码获取投屏码；</w:t>
            </w:r>
            <w:r>
              <w:rPr>
                <w:rFonts w:hint="eastAsia" w:ascii="Calibri" w:hAnsi="Calibri"/>
                <w:color w:val="auto"/>
                <w:sz w:val="18"/>
                <w:szCs w:val="18"/>
              </w:rPr>
              <w:br w:type="textWrapping"/>
            </w:r>
            <w:r>
              <w:rPr>
                <w:rFonts w:hint="eastAsia" w:ascii="Calibri" w:hAnsi="Calibri"/>
                <w:color w:val="auto"/>
                <w:sz w:val="18"/>
                <w:szCs w:val="18"/>
              </w:rPr>
              <w:t>5.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Calibri" w:hAnsi="Calibri"/>
                <w:color w:val="auto"/>
                <w:sz w:val="18"/>
                <w:szCs w:val="18"/>
              </w:rPr>
              <w:br w:type="textWrapping"/>
            </w:r>
            <w:r>
              <w:rPr>
                <w:rFonts w:hint="eastAsia" w:ascii="Calibri" w:hAnsi="Calibri"/>
                <w:color w:val="auto"/>
                <w:sz w:val="18"/>
                <w:szCs w:val="18"/>
              </w:rPr>
              <w:t>6.整机PC端支持主动发现蓝牙外设从而连接（无需整机进入发现模式），支持连接外部蓝牙音箱播放音频。</w:t>
            </w:r>
            <w:r>
              <w:rPr>
                <w:rFonts w:hint="eastAsia" w:ascii="Calibri" w:hAnsi="Calibri"/>
                <w:color w:val="auto"/>
                <w:sz w:val="18"/>
                <w:szCs w:val="18"/>
              </w:rPr>
              <w:br w:type="textWrapping"/>
            </w:r>
            <w:r>
              <w:rPr>
                <w:rFonts w:hint="eastAsia" w:ascii="Calibri" w:hAnsi="Calibri"/>
                <w:color w:val="auto"/>
                <w:sz w:val="18"/>
                <w:szCs w:val="18"/>
              </w:rPr>
              <w:t>7.整机内置双WiFi6无线网卡（不接受外接），在Android和Windows系统下，可实现Wi-Fi无线上网连接、AP无线热点发射。</w:t>
            </w:r>
            <w:r>
              <w:rPr>
                <w:rFonts w:hint="eastAsia" w:ascii="Calibri" w:hAnsi="Calibri"/>
                <w:color w:val="auto"/>
                <w:sz w:val="18"/>
                <w:szCs w:val="18"/>
              </w:rPr>
              <w:br w:type="textWrapping"/>
            </w:r>
            <w:r>
              <w:rPr>
                <w:rFonts w:hint="eastAsia" w:ascii="Calibri" w:hAnsi="Calibri"/>
                <w:color w:val="auto"/>
                <w:sz w:val="18"/>
                <w:szCs w:val="18"/>
              </w:rPr>
              <w:t>8.整机内置双WiFi6无线网卡（不接受外接），在Android下支持无线设备同时连接数量≥32个，在Windows系统下支持无线设备同时连接≥8个；</w:t>
            </w:r>
            <w:r>
              <w:rPr>
                <w:rFonts w:hint="eastAsia" w:ascii="Calibri" w:hAnsi="Calibri"/>
                <w:color w:val="auto"/>
                <w:sz w:val="18"/>
                <w:szCs w:val="18"/>
              </w:rPr>
              <w:br w:type="textWrapping"/>
            </w:r>
            <w:r>
              <w:rPr>
                <w:rFonts w:hint="eastAsia" w:ascii="Calibri" w:hAnsi="Calibri"/>
                <w:color w:val="auto"/>
                <w:sz w:val="18"/>
                <w:szCs w:val="18"/>
              </w:rPr>
              <w:t>9.整机无需外接无线网卡，在Windows系统下接入无线网络，切换到嵌入式Android系统下可直接实现无线上网功能，不需手动重复设置。</w:t>
            </w:r>
            <w:r>
              <w:rPr>
                <w:rFonts w:hint="eastAsia" w:ascii="Calibri" w:hAnsi="Calibri"/>
                <w:color w:val="auto"/>
                <w:sz w:val="18"/>
                <w:szCs w:val="18"/>
              </w:rPr>
              <w:br w:type="textWrapping"/>
            </w:r>
            <w:r>
              <w:rPr>
                <w:rFonts w:hint="eastAsia" w:ascii="Calibri" w:hAnsi="Calibri"/>
                <w:color w:val="auto"/>
                <w:sz w:val="18"/>
                <w:szCs w:val="18"/>
              </w:rPr>
              <w:t xml:space="preserve">10.Wi-Fi及AP热点支持频段2.4GHz/5GHz </w:t>
            </w:r>
            <w:r>
              <w:rPr>
                <w:rFonts w:hint="eastAsia" w:ascii="Calibri" w:hAnsi="Calibri"/>
                <w:color w:val="auto"/>
                <w:sz w:val="18"/>
                <w:szCs w:val="18"/>
              </w:rPr>
              <w:br w:type="textWrapping"/>
            </w:r>
            <w:r>
              <w:rPr>
                <w:rFonts w:hint="eastAsia" w:ascii="Calibri" w:hAnsi="Calibri"/>
                <w:color w:val="auto"/>
                <w:sz w:val="18"/>
                <w:szCs w:val="18"/>
              </w:rPr>
              <w:t>11.Wi-Fi制式支持IEEE 802.11 a/b/g/n/ac/ax；支持版本Wi-Fi6。</w:t>
            </w:r>
            <w:r>
              <w:rPr>
                <w:rFonts w:hint="eastAsia" w:ascii="Calibri" w:hAnsi="Calibri"/>
                <w:color w:val="auto"/>
                <w:sz w:val="18"/>
                <w:szCs w:val="18"/>
              </w:rPr>
              <w:br w:type="textWrapping"/>
            </w:r>
            <w:r>
              <w:rPr>
                <w:rFonts w:hint="eastAsia" w:ascii="Calibri" w:hAnsi="Calibri"/>
                <w:color w:val="auto"/>
                <w:sz w:val="18"/>
                <w:szCs w:val="18"/>
              </w:rPr>
              <w:t>六、触控系统</w:t>
            </w:r>
            <w:r>
              <w:rPr>
                <w:rFonts w:hint="eastAsia" w:ascii="Calibri" w:hAnsi="Calibri"/>
                <w:color w:val="auto"/>
                <w:sz w:val="18"/>
                <w:szCs w:val="18"/>
              </w:rPr>
              <w:br w:type="textWrapping"/>
            </w:r>
            <w:r>
              <w:rPr>
                <w:rFonts w:hint="eastAsia" w:ascii="Calibri" w:hAnsi="Calibri"/>
                <w:color w:val="auto"/>
                <w:sz w:val="18"/>
                <w:szCs w:val="18"/>
              </w:rPr>
              <w:t>★1.采用电容触控方式，支持Windows系统中进行40点或以上触控，支持Android系统中进行40点或以上触控。（响应文件中须提供国家认可的第三方检测机构出具的有关该功能检测报告复印件）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2.支持Windows 7、Windows 8、Windows 10、Windows 11、Linux、Mac Os、UOS和麒麟系统外置电脑操作系统接入时，无需安装触摸驱动。</w:t>
            </w:r>
            <w:r>
              <w:rPr>
                <w:rFonts w:hint="eastAsia" w:ascii="Calibri" w:hAnsi="Calibri"/>
                <w:color w:val="auto"/>
                <w:sz w:val="18"/>
                <w:szCs w:val="18"/>
              </w:rPr>
              <w:br w:type="textWrapping"/>
            </w:r>
            <w:r>
              <w:rPr>
                <w:rFonts w:hint="eastAsia" w:ascii="Calibri" w:hAnsi="Calibri"/>
                <w:color w:val="auto"/>
                <w:sz w:val="18"/>
                <w:szCs w:val="18"/>
              </w:rPr>
              <w:t>3.触摸分辨率32768×32768。整机系统支持书写触控延迟≤25ms</w:t>
            </w:r>
            <w:r>
              <w:rPr>
                <w:rFonts w:hint="eastAsia" w:ascii="Calibri" w:hAnsi="Calibri"/>
                <w:color w:val="auto"/>
                <w:sz w:val="18"/>
                <w:szCs w:val="18"/>
              </w:rPr>
              <w:br w:type="textWrapping"/>
            </w:r>
            <w:r>
              <w:rPr>
                <w:rFonts w:hint="eastAsia" w:ascii="Calibri" w:hAnsi="Calibri"/>
                <w:color w:val="auto"/>
                <w:sz w:val="18"/>
                <w:szCs w:val="18"/>
              </w:rPr>
              <w:t>4.整机触控书写功能集成预测算法，在书写速度≥50cm/s，支持笔迹距离笔的距离小于20mm。</w:t>
            </w:r>
            <w:r>
              <w:rPr>
                <w:rFonts w:hint="eastAsia" w:ascii="Calibri" w:hAnsi="Calibri"/>
                <w:color w:val="auto"/>
                <w:sz w:val="18"/>
                <w:szCs w:val="18"/>
              </w:rPr>
              <w:br w:type="textWrapping"/>
            </w:r>
            <w:r>
              <w:rPr>
                <w:rFonts w:hint="eastAsia" w:ascii="Calibri" w:hAnsi="Calibri"/>
                <w:color w:val="auto"/>
                <w:sz w:val="18"/>
                <w:szCs w:val="18"/>
              </w:rPr>
              <w:t>5.触摸响应时间≤4ms。触摸最小识别物≤3mm。</w:t>
            </w:r>
            <w:r>
              <w:rPr>
                <w:rFonts w:hint="eastAsia" w:ascii="Calibri" w:hAnsi="Calibri"/>
                <w:color w:val="auto"/>
                <w:sz w:val="18"/>
                <w:szCs w:val="18"/>
              </w:rPr>
              <w:br w:type="textWrapping"/>
            </w:r>
            <w:r>
              <w:rPr>
                <w:rFonts w:hint="eastAsia" w:ascii="Calibri" w:hAnsi="Calibri"/>
                <w:color w:val="auto"/>
                <w:sz w:val="18"/>
                <w:szCs w:val="18"/>
              </w:rPr>
              <w:t>6.整机支持提笔书写，在Windows系统下可实现无需点击任意功能入口，当检测到触控笔笔尖接触屏幕时，自动进入书写模式。（响应文件中须提供国家认可的第三方检测机构出具的有关该功能检测报告复印件）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7.整机触摸支持动态压力感应，支持无任何电子功能的普通书写笔在整机上书写或点压时，整机能感应压力变化，书写或点压过程笔迹呈现不同粗细。</w:t>
            </w:r>
            <w:r>
              <w:rPr>
                <w:rFonts w:hint="eastAsia" w:ascii="Calibri" w:hAnsi="Calibri"/>
                <w:color w:val="auto"/>
                <w:sz w:val="18"/>
                <w:szCs w:val="18"/>
              </w:rPr>
              <w:br w:type="textWrapping"/>
            </w:r>
            <w:r>
              <w:rPr>
                <w:rFonts w:hint="eastAsia" w:ascii="Calibri" w:hAnsi="Calibri"/>
                <w:color w:val="auto"/>
                <w:sz w:val="18"/>
                <w:szCs w:val="18"/>
              </w:rPr>
              <w:t>8.整机支持手笔分离，通过提笔即写唤醒批注功能后，可进行手笔分离功能，使用笔正常书写，使用手指可以操作应用，进行点击操作。（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9.支持智能板擦功能，系统可根据触控物体的形状自动识别出实物板擦，可擦除电子白板中的内容，无需依赖外部电子设备。</w:t>
            </w:r>
            <w:r>
              <w:rPr>
                <w:rFonts w:hint="eastAsia" w:ascii="Calibri" w:hAnsi="Calibri"/>
                <w:color w:val="auto"/>
                <w:sz w:val="18"/>
                <w:szCs w:val="18"/>
              </w:rPr>
              <w:br w:type="textWrapping"/>
            </w:r>
            <w:r>
              <w:rPr>
                <w:rFonts w:hint="eastAsia" w:ascii="Calibri" w:hAnsi="Calibri"/>
                <w:color w:val="auto"/>
                <w:sz w:val="18"/>
                <w:szCs w:val="18"/>
              </w:rPr>
              <w:br w:type="textWrapping"/>
            </w:r>
            <w:r>
              <w:rPr>
                <w:rFonts w:hint="eastAsia" w:ascii="Calibri" w:hAnsi="Calibri"/>
                <w:color w:val="auto"/>
                <w:sz w:val="18"/>
                <w:szCs w:val="18"/>
              </w:rPr>
              <w:t>七、教学白板软件</w:t>
            </w:r>
            <w:r>
              <w:rPr>
                <w:rFonts w:hint="eastAsia" w:ascii="Calibri" w:hAnsi="Calibri"/>
                <w:color w:val="auto"/>
                <w:sz w:val="18"/>
                <w:szCs w:val="18"/>
              </w:rPr>
              <w:br w:type="textWrapping"/>
            </w:r>
            <w:r>
              <w:rPr>
                <w:rFonts w:hint="eastAsia" w:ascii="Calibri" w:hAnsi="Calibri"/>
                <w:color w:val="auto"/>
                <w:sz w:val="18"/>
                <w:szCs w:val="18"/>
              </w:rPr>
              <w:t>（一）软件设计</w:t>
            </w:r>
            <w:r>
              <w:rPr>
                <w:rFonts w:hint="eastAsia" w:ascii="Calibri" w:hAnsi="Calibri"/>
                <w:color w:val="auto"/>
                <w:sz w:val="18"/>
                <w:szCs w:val="18"/>
              </w:rPr>
              <w:br w:type="textWrapping"/>
            </w:r>
            <w:r>
              <w:rPr>
                <w:rFonts w:hint="eastAsia" w:ascii="Calibri" w:hAnsi="Calibri"/>
                <w:color w:val="auto"/>
                <w:sz w:val="18"/>
                <w:szCs w:val="18"/>
              </w:rPr>
              <w:t>★1.采用备授课一体化框架设计，教师可根据教学场景自由切换类PPT界面的备课模式与触控交互教学模式，适用于教室、办公室等不同教学环境，便于教师教学使用。</w:t>
            </w:r>
            <w:r>
              <w:rPr>
                <w:rFonts w:hint="eastAsia" w:ascii="Calibri" w:hAnsi="Calibri"/>
                <w:color w:val="auto"/>
                <w:sz w:val="18"/>
                <w:szCs w:val="18"/>
              </w:rPr>
              <w:br w:type="textWrapping"/>
            </w:r>
            <w:r>
              <w:rPr>
                <w:rFonts w:hint="eastAsia" w:ascii="Calibri" w:hAnsi="Calibri"/>
                <w:color w:val="auto"/>
                <w:sz w:val="18"/>
                <w:szCs w:val="18"/>
              </w:rPr>
              <w:t>2.软件为用户提供可扩展，易于学校管理，安全可靠的云存储空间，根据每名教师使用时长与教学资料制作频率提供可扩展升级至不小于200G的个人云空间。</w:t>
            </w:r>
            <w:r>
              <w:rPr>
                <w:rFonts w:hint="eastAsia" w:ascii="Calibri" w:hAnsi="Calibri"/>
                <w:color w:val="auto"/>
                <w:sz w:val="18"/>
                <w:szCs w:val="18"/>
              </w:rPr>
              <w:br w:type="textWrapping"/>
            </w:r>
            <w:r>
              <w:rPr>
                <w:rFonts w:hint="eastAsia" w:ascii="Calibri" w:hAnsi="Calibri"/>
                <w:color w:val="auto"/>
                <w:sz w:val="18"/>
                <w:szCs w:val="18"/>
              </w:rPr>
              <w:t>★3.软件须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Calibri" w:hAnsi="Calibri"/>
                <w:color w:val="auto"/>
                <w:sz w:val="18"/>
                <w:szCs w:val="18"/>
              </w:rPr>
              <w:br w:type="textWrapping"/>
            </w:r>
            <w:r>
              <w:rPr>
                <w:rFonts w:hint="eastAsia" w:ascii="Calibri" w:hAnsi="Calibri"/>
                <w:color w:val="auto"/>
                <w:sz w:val="18"/>
                <w:szCs w:val="18"/>
              </w:rPr>
              <w:t>4.互动教学课件支持定向精准分享：分享者可将互动课件、课件组精准推送至指定接收方账号云空间，接收方可在云空间接收并打开分享课件；</w:t>
            </w:r>
            <w:r>
              <w:rPr>
                <w:rFonts w:hint="eastAsia" w:ascii="Calibri" w:hAnsi="Calibri"/>
                <w:color w:val="auto"/>
                <w:sz w:val="18"/>
                <w:szCs w:val="18"/>
              </w:rPr>
              <w:br w:type="textWrapping"/>
            </w:r>
            <w:r>
              <w:rPr>
                <w:rFonts w:hint="eastAsia" w:ascii="Calibri" w:hAnsi="Calibri"/>
                <w:color w:val="auto"/>
                <w:sz w:val="18"/>
                <w:szCs w:val="18"/>
              </w:rPr>
              <w:t>5.互动教学课件支持开放式云分享：分享者可将互动课件、课件组以公开或加密的web链接和二维码形式进行分享，分享链接可设置访问有效期。</w:t>
            </w:r>
            <w:r>
              <w:rPr>
                <w:rFonts w:hint="eastAsia" w:ascii="Calibri" w:hAnsi="Calibri"/>
                <w:color w:val="auto"/>
                <w:sz w:val="18"/>
                <w:szCs w:val="18"/>
              </w:rPr>
              <w:br w:type="textWrapping"/>
            </w:r>
            <w:r>
              <w:rPr>
                <w:rFonts w:hint="eastAsia" w:ascii="Calibri" w:hAnsi="Calibri"/>
                <w:color w:val="auto"/>
                <w:sz w:val="18"/>
                <w:szCs w:val="18"/>
              </w:rPr>
              <w:t>6.上传下载一体化云存储：备课时支持将云空间中存储图片、音频、视频、Flash等素材插入课件，同时支持将课件中的图片、音频、视频、Flash、PPT等素材右键上传至云空间。</w:t>
            </w:r>
            <w:r>
              <w:rPr>
                <w:rFonts w:hint="eastAsia" w:ascii="Calibri" w:hAnsi="Calibri"/>
                <w:color w:val="auto"/>
                <w:sz w:val="18"/>
                <w:szCs w:val="18"/>
              </w:rPr>
              <w:br w:type="textWrapping"/>
            </w:r>
            <w:r>
              <w:rPr>
                <w:rFonts w:hint="eastAsia" w:ascii="Calibri" w:hAnsi="Calibri"/>
                <w:color w:val="auto"/>
                <w:sz w:val="18"/>
                <w:szCs w:val="18"/>
              </w:rPr>
              <w:t>7.胶囊式微课功能内置于交互式课件工具中，支持快速录制胶囊式微课，微课可录制保存音频和课件的互动操作</w:t>
            </w:r>
            <w:r>
              <w:rPr>
                <w:rFonts w:hint="eastAsia" w:ascii="Calibri" w:hAnsi="Calibri"/>
                <w:color w:val="auto"/>
                <w:sz w:val="18"/>
                <w:szCs w:val="18"/>
              </w:rPr>
              <w:br w:type="textWrapping"/>
            </w:r>
            <w:r>
              <w:rPr>
                <w:rFonts w:hint="eastAsia" w:ascii="Calibri" w:hAnsi="Calibri"/>
                <w:color w:val="auto"/>
                <w:sz w:val="18"/>
                <w:szCs w:val="18"/>
              </w:rPr>
              <w:t>（1）录制功能：录制过程中可对课件中的元素进行拖动、克隆、删除等操作，支持在录制过程中进行书写和擦除</w:t>
            </w:r>
            <w:r>
              <w:rPr>
                <w:rFonts w:hint="eastAsia" w:ascii="Calibri" w:hAnsi="Calibri"/>
                <w:color w:val="auto"/>
                <w:sz w:val="18"/>
                <w:szCs w:val="18"/>
              </w:rPr>
              <w:br w:type="textWrapping"/>
            </w:r>
            <w:r>
              <w:rPr>
                <w:rFonts w:hint="eastAsia" w:ascii="Calibri" w:hAnsi="Calibri"/>
                <w:color w:val="auto"/>
                <w:sz w:val="18"/>
                <w:szCs w:val="18"/>
              </w:rPr>
              <w:t>（2）剪辑重录功能：支持按照课件页面片段剪辑和重录微课，支持一键上传至云端保存</w:t>
            </w:r>
            <w:r>
              <w:rPr>
                <w:rFonts w:hint="eastAsia" w:ascii="Calibri" w:hAnsi="Calibri"/>
                <w:color w:val="auto"/>
                <w:sz w:val="18"/>
                <w:szCs w:val="18"/>
              </w:rPr>
              <w:br w:type="textWrapping"/>
            </w:r>
            <w:r>
              <w:rPr>
                <w:rFonts w:hint="eastAsia" w:ascii="Calibri" w:hAnsi="Calibri"/>
                <w:color w:val="auto"/>
                <w:sz w:val="18"/>
                <w:szCs w:val="18"/>
              </w:rPr>
              <w:t>（3）无课件录制：支持教师在空白页面录制胶囊式微课，支持自主添加不低于100页电子草稿进行讲解</w:t>
            </w:r>
            <w:r>
              <w:rPr>
                <w:rFonts w:hint="eastAsia" w:ascii="Calibri" w:hAnsi="Calibri"/>
                <w:color w:val="auto"/>
                <w:sz w:val="18"/>
                <w:szCs w:val="18"/>
              </w:rPr>
              <w:br w:type="textWrapping"/>
            </w:r>
            <w:r>
              <w:rPr>
                <w:rFonts w:hint="eastAsia" w:ascii="Calibri" w:hAnsi="Calibri"/>
                <w:color w:val="auto"/>
                <w:sz w:val="18"/>
                <w:szCs w:val="18"/>
              </w:rPr>
              <w:t>（4）听课方式：微课录制结束后自动生成分享海报，学生扫码在即可在微信观看，无需下载额外app使用</w:t>
            </w:r>
            <w:r>
              <w:rPr>
                <w:rFonts w:hint="eastAsia" w:ascii="Calibri" w:hAnsi="Calibri"/>
                <w:color w:val="auto"/>
                <w:sz w:val="18"/>
                <w:szCs w:val="18"/>
              </w:rPr>
              <w:br w:type="textWrapping"/>
            </w:r>
            <w:r>
              <w:rPr>
                <w:rFonts w:hint="eastAsia" w:ascii="Calibri" w:hAnsi="Calibri"/>
                <w:color w:val="auto"/>
                <w:sz w:val="18"/>
                <w:szCs w:val="18"/>
              </w:rPr>
              <w:t>（5）学生观看胶囊式微课时可进行多种互动，可在控制课件模式下移动、删除克隆课件内的元素，参与课堂活动互动练习</w:t>
            </w:r>
            <w:r>
              <w:rPr>
                <w:rFonts w:hint="eastAsia" w:ascii="Calibri" w:hAnsi="Calibri"/>
                <w:color w:val="auto"/>
                <w:sz w:val="18"/>
                <w:szCs w:val="18"/>
              </w:rPr>
              <w:br w:type="textWrapping"/>
            </w:r>
            <w:r>
              <w:rPr>
                <w:rFonts w:hint="eastAsia" w:ascii="Calibri" w:hAnsi="Calibri"/>
                <w:color w:val="auto"/>
                <w:sz w:val="18"/>
                <w:szCs w:val="18"/>
              </w:rPr>
              <w:t>（6）系统后台自动统计胶囊式微课的观看次数，便于教师做教研管理</w:t>
            </w:r>
            <w:r>
              <w:rPr>
                <w:rFonts w:hint="eastAsia" w:ascii="Calibri" w:hAnsi="Calibri"/>
                <w:color w:val="auto"/>
                <w:sz w:val="18"/>
                <w:szCs w:val="18"/>
              </w:rPr>
              <w:br w:type="textWrapping"/>
            </w:r>
            <w:r>
              <w:rPr>
                <w:rFonts w:hint="eastAsia" w:ascii="Calibri" w:hAnsi="Calibri"/>
                <w:color w:val="auto"/>
                <w:sz w:val="18"/>
                <w:szCs w:val="18"/>
              </w:rPr>
              <w:t>8.立体几何：</w:t>
            </w:r>
            <w:r>
              <w:rPr>
                <w:rFonts w:hint="eastAsia" w:ascii="Calibri" w:hAnsi="Calibri"/>
                <w:color w:val="auto"/>
                <w:sz w:val="18"/>
                <w:szCs w:val="18"/>
              </w:rPr>
              <w:br w:type="textWrapping"/>
            </w:r>
            <w:r>
              <w:rPr>
                <w:rFonts w:hint="eastAsia" w:ascii="Calibri" w:hAnsi="Calibri"/>
                <w:color w:val="auto"/>
                <w:sz w:val="18"/>
                <w:szCs w:val="18"/>
              </w:rPr>
              <w:t>1)支持绘制立方体、圆柱体等立体几何图形。</w:t>
            </w:r>
            <w:r>
              <w:rPr>
                <w:rFonts w:hint="eastAsia" w:ascii="Calibri" w:hAnsi="Calibri"/>
                <w:color w:val="auto"/>
                <w:sz w:val="18"/>
                <w:szCs w:val="18"/>
              </w:rPr>
              <w:br w:type="textWrapping"/>
            </w:r>
            <w:r>
              <w:rPr>
                <w:rFonts w:hint="eastAsia" w:ascii="Calibri" w:hAnsi="Calibri"/>
                <w:color w:val="auto"/>
                <w:sz w:val="18"/>
                <w:szCs w:val="18"/>
              </w:rPr>
              <w:t>2)支持任意调节立体几何图形的尺寸，改变长宽高比例。</w:t>
            </w:r>
            <w:r>
              <w:rPr>
                <w:rFonts w:hint="eastAsia" w:ascii="Calibri" w:hAnsi="Calibri"/>
                <w:color w:val="auto"/>
                <w:sz w:val="18"/>
                <w:szCs w:val="18"/>
              </w:rPr>
              <w:br w:type="textWrapping"/>
            </w:r>
            <w:r>
              <w:rPr>
                <w:rFonts w:hint="eastAsia" w:ascii="Calibri" w:hAnsi="Calibri"/>
                <w:color w:val="auto"/>
                <w:sz w:val="18"/>
                <w:szCs w:val="18"/>
              </w:rPr>
              <w:t>3)支持沿任意方向旋转立体几何。</w:t>
            </w:r>
            <w:r>
              <w:rPr>
                <w:rFonts w:hint="eastAsia" w:ascii="Calibri" w:hAnsi="Calibri"/>
                <w:color w:val="auto"/>
                <w:sz w:val="18"/>
                <w:szCs w:val="18"/>
              </w:rPr>
              <w:br w:type="textWrapping"/>
            </w:r>
            <w:r>
              <w:rPr>
                <w:rFonts w:hint="eastAsia" w:ascii="Calibri" w:hAnsi="Calibri"/>
                <w:color w:val="auto"/>
                <w:sz w:val="18"/>
                <w:szCs w:val="18"/>
              </w:rPr>
              <w:t>4)支持为长方体6个面分别涂色，并且可通过任意旋转观察涂色与未涂色的表面。</w:t>
            </w:r>
            <w:r>
              <w:rPr>
                <w:rFonts w:hint="eastAsia" w:ascii="Calibri" w:hAnsi="Calibri"/>
                <w:color w:val="auto"/>
                <w:sz w:val="18"/>
                <w:szCs w:val="18"/>
              </w:rPr>
              <w:br w:type="textWrapping"/>
            </w:r>
            <w:r>
              <w:rPr>
                <w:rFonts w:hint="eastAsia" w:ascii="Calibri" w:hAnsi="Calibri"/>
                <w:color w:val="auto"/>
                <w:sz w:val="18"/>
                <w:szCs w:val="18"/>
              </w:rPr>
              <w:t>5)支持立体图形吸附功能：移动立体图形相互靠近时，可智能识别并吸附，便于老师精确操作组合图形。</w:t>
            </w:r>
            <w:r>
              <w:rPr>
                <w:rFonts w:hint="eastAsia" w:ascii="Calibri" w:hAnsi="Calibri"/>
                <w:color w:val="auto"/>
                <w:sz w:val="18"/>
                <w:szCs w:val="18"/>
              </w:rPr>
              <w:br w:type="textWrapping"/>
            </w:r>
            <w:r>
              <w:rPr>
                <w:rFonts w:hint="eastAsia" w:ascii="Calibri" w:hAnsi="Calibri"/>
                <w:color w:val="auto"/>
                <w:sz w:val="18"/>
                <w:szCs w:val="18"/>
              </w:rPr>
              <w:t>（二）互动教学功能：</w:t>
            </w:r>
            <w:r>
              <w:rPr>
                <w:rFonts w:hint="eastAsia" w:ascii="Calibri" w:hAnsi="Calibri"/>
                <w:color w:val="auto"/>
                <w:sz w:val="18"/>
                <w:szCs w:val="18"/>
              </w:rPr>
              <w:br w:type="textWrapping"/>
            </w:r>
            <w:r>
              <w:rPr>
                <w:rFonts w:hint="eastAsia" w:ascii="Calibri" w:hAnsi="Calibri"/>
                <w:color w:val="auto"/>
                <w:sz w:val="18"/>
                <w:szCs w:val="18"/>
              </w:rPr>
              <w:t>1.互动分类模板：支持创建互动分类模板，可自定义不同类别及相对应的对象，实现将不同对象拖拽到对应的类别容器中可自动辨识分类，分类正确或错误均有相应提示。类别和对象的样式、数量均可以自定义设置。</w:t>
            </w:r>
            <w:r>
              <w:rPr>
                <w:rFonts w:hint="eastAsia" w:ascii="Calibri" w:hAnsi="Calibri"/>
                <w:color w:val="auto"/>
                <w:sz w:val="18"/>
                <w:szCs w:val="18"/>
              </w:rPr>
              <w:br w:type="textWrapping"/>
            </w:r>
            <w:r>
              <w:rPr>
                <w:rFonts w:hint="eastAsia" w:ascii="Calibri" w:hAnsi="Calibri"/>
                <w:color w:val="auto"/>
                <w:sz w:val="18"/>
                <w:szCs w:val="18"/>
              </w:rPr>
              <w:t>2.系统须提供不少于10种互动模板，直接选择并输入相应内容即可轻松生成互动分类模板，提升课堂效率。</w:t>
            </w:r>
            <w:r>
              <w:rPr>
                <w:rFonts w:hint="eastAsia" w:ascii="Calibri" w:hAnsi="Calibri"/>
                <w:color w:val="auto"/>
                <w:sz w:val="18"/>
                <w:szCs w:val="18"/>
              </w:rPr>
              <w:br w:type="textWrapping"/>
            </w:r>
            <w:r>
              <w:rPr>
                <w:rFonts w:hint="eastAsia" w:ascii="Calibri" w:hAnsi="Calibri"/>
                <w:color w:val="auto"/>
                <w:sz w:val="18"/>
                <w:szCs w:val="18"/>
              </w:rPr>
              <w:t>3.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r>
              <w:rPr>
                <w:rFonts w:hint="eastAsia" w:ascii="Calibri" w:hAnsi="Calibri"/>
                <w:color w:val="auto"/>
                <w:sz w:val="18"/>
                <w:szCs w:val="18"/>
              </w:rPr>
              <w:br w:type="textWrapping"/>
            </w:r>
            <w:r>
              <w:rPr>
                <w:rFonts w:hint="eastAsia" w:ascii="Calibri" w:hAnsi="Calibri"/>
                <w:color w:val="auto"/>
                <w:sz w:val="18"/>
                <w:szCs w:val="18"/>
              </w:rPr>
              <w:t>4..互动课件内容的编辑修改无需人为保存即可自动同步至云空间，可根据教师需要调整云空间自动同步的时间间隔，避免教学资源的损坏、遗失。</w:t>
            </w:r>
            <w:r>
              <w:rPr>
                <w:rFonts w:hint="eastAsia" w:ascii="Calibri" w:hAnsi="Calibri"/>
                <w:color w:val="auto"/>
                <w:sz w:val="18"/>
                <w:szCs w:val="18"/>
              </w:rPr>
              <w:br w:type="textWrapping"/>
            </w:r>
            <w:r>
              <w:rPr>
                <w:rFonts w:hint="eastAsia" w:ascii="Calibri" w:hAnsi="Calibri"/>
                <w:color w:val="auto"/>
                <w:sz w:val="18"/>
                <w:szCs w:val="18"/>
              </w:rPr>
              <w:t xml:space="preserve">（三）空中课堂教学功能： </w:t>
            </w:r>
            <w:r>
              <w:rPr>
                <w:rFonts w:hint="eastAsia" w:ascii="Calibri" w:hAnsi="Calibri"/>
                <w:color w:val="auto"/>
                <w:sz w:val="18"/>
                <w:szCs w:val="18"/>
              </w:rPr>
              <w:br w:type="textWrapping"/>
            </w:r>
            <w:r>
              <w:rPr>
                <w:rFonts w:hint="eastAsia" w:ascii="Calibri" w:hAnsi="Calibri"/>
                <w:color w:val="auto"/>
                <w:sz w:val="18"/>
                <w:szCs w:val="18"/>
              </w:rPr>
              <w:t>1、一键开课：教师可一键开课生成课程海报；学生扫描课程海报微信二维码即可加入直播课堂，无需额外安装APP。</w:t>
            </w:r>
            <w:r>
              <w:rPr>
                <w:rFonts w:hint="eastAsia" w:ascii="Calibri" w:hAnsi="Calibri"/>
                <w:color w:val="auto"/>
                <w:sz w:val="18"/>
                <w:szCs w:val="18"/>
              </w:rPr>
              <w:br w:type="textWrapping"/>
            </w:r>
            <w:r>
              <w:rPr>
                <w:rFonts w:hint="eastAsia" w:ascii="Calibri" w:hAnsi="Calibri"/>
                <w:color w:val="auto"/>
                <w:sz w:val="18"/>
                <w:szCs w:val="18"/>
              </w:rPr>
              <w:t>2、文本聊天工具：学生可在直播课堂打字提问、互动，学生提问内容实时传递至教师；</w:t>
            </w:r>
            <w:r>
              <w:rPr>
                <w:rFonts w:hint="eastAsia" w:ascii="Calibri" w:hAnsi="Calibri"/>
                <w:color w:val="auto"/>
                <w:sz w:val="18"/>
                <w:szCs w:val="18"/>
              </w:rPr>
              <w:br w:type="textWrapping"/>
            </w:r>
            <w:r>
              <w:rPr>
                <w:rFonts w:hint="eastAsia" w:ascii="Calibri" w:hAnsi="Calibri"/>
                <w:color w:val="auto"/>
                <w:sz w:val="18"/>
                <w:szCs w:val="18"/>
              </w:rPr>
              <w:t>3、互动答题工具：教师根据讲解内容发布答题板供学生选择作答，学生提交答案后系统自动统计正确率和答题详情。</w:t>
            </w:r>
            <w:r>
              <w:rPr>
                <w:rFonts w:hint="eastAsia" w:ascii="Calibri" w:hAnsi="Calibri"/>
                <w:color w:val="auto"/>
                <w:sz w:val="18"/>
                <w:szCs w:val="18"/>
              </w:rPr>
              <w:br w:type="textWrapping"/>
            </w:r>
            <w:r>
              <w:rPr>
                <w:rFonts w:hint="eastAsia" w:ascii="Calibri" w:hAnsi="Calibri"/>
                <w:color w:val="auto"/>
                <w:sz w:val="18"/>
                <w:szCs w:val="18"/>
              </w:rPr>
              <w:t>4、远程互动工具：在直播课堂中，教师可指定授权学生远程互动，学生可在直播的课件画面进行书写、移动、擦除、参与互动活动等，学生操作过程实时同步至班级其他学生，可支持不少于5位学生同时参与远程互动；</w:t>
            </w:r>
            <w:r>
              <w:rPr>
                <w:rFonts w:hint="eastAsia" w:ascii="Calibri" w:hAnsi="Calibri"/>
                <w:color w:val="auto"/>
                <w:sz w:val="18"/>
                <w:szCs w:val="18"/>
              </w:rPr>
              <w:br w:type="textWrapping"/>
            </w:r>
            <w:r>
              <w:rPr>
                <w:rFonts w:hint="eastAsia" w:ascii="Calibri" w:hAnsi="Calibri"/>
                <w:color w:val="auto"/>
                <w:sz w:val="18"/>
                <w:szCs w:val="18"/>
              </w:rPr>
              <w:t>5、课堂奖励工具：直播过程中可向学生发放奖杯，学生在线学习获得的奖杯数量累积统计。</w:t>
            </w:r>
            <w:r>
              <w:rPr>
                <w:rFonts w:hint="eastAsia" w:ascii="Calibri" w:hAnsi="Calibri"/>
                <w:color w:val="auto"/>
                <w:sz w:val="18"/>
                <w:szCs w:val="18"/>
              </w:rPr>
              <w:br w:type="textWrapping"/>
            </w:r>
            <w:r>
              <w:rPr>
                <w:rFonts w:hint="eastAsia" w:ascii="Calibri" w:hAnsi="Calibri"/>
                <w:color w:val="auto"/>
                <w:sz w:val="18"/>
                <w:szCs w:val="18"/>
              </w:rPr>
              <w:t>6、远程考勤管理：直播课程结束后，后台自动统计报名学生名单和学生学习清单。</w:t>
            </w:r>
            <w:r>
              <w:rPr>
                <w:rFonts w:hint="eastAsia" w:ascii="Calibri" w:hAnsi="Calibri"/>
                <w:color w:val="auto"/>
                <w:sz w:val="18"/>
                <w:szCs w:val="18"/>
              </w:rPr>
              <w:br w:type="textWrapping"/>
            </w:r>
            <w:r>
              <w:rPr>
                <w:rFonts w:hint="eastAsia" w:ascii="Calibri" w:hAnsi="Calibri"/>
                <w:color w:val="auto"/>
                <w:sz w:val="18"/>
                <w:szCs w:val="18"/>
              </w:rPr>
              <w:t>7、课程回放：课程结束后自动生成直播回放，报名课程的学生可反复学习；回放课程自动保存在云端，支持人工删除。</w:t>
            </w:r>
            <w:r>
              <w:rPr>
                <w:rFonts w:hint="eastAsia" w:ascii="Calibri" w:hAnsi="Calibri"/>
                <w:color w:val="auto"/>
                <w:sz w:val="18"/>
                <w:szCs w:val="18"/>
              </w:rPr>
              <w:br w:type="textWrapping"/>
            </w:r>
            <w:r>
              <w:rPr>
                <w:rFonts w:hint="eastAsia" w:ascii="Calibri" w:hAnsi="Calibri"/>
                <w:color w:val="auto"/>
                <w:sz w:val="18"/>
                <w:szCs w:val="18"/>
              </w:rPr>
              <w:t>八、安卓系统要求</w:t>
            </w:r>
            <w:r>
              <w:rPr>
                <w:rFonts w:hint="eastAsia" w:ascii="Calibri" w:hAnsi="Calibri"/>
                <w:color w:val="auto"/>
                <w:sz w:val="18"/>
                <w:szCs w:val="18"/>
              </w:rPr>
              <w:br w:type="textWrapping"/>
            </w:r>
            <w:r>
              <w:rPr>
                <w:rFonts w:hint="eastAsia" w:ascii="Calibri" w:hAnsi="Calibri"/>
                <w:color w:val="auto"/>
                <w:sz w:val="18"/>
                <w:szCs w:val="18"/>
              </w:rPr>
              <w:t>★1.嵌入式系统版本不低于Android 13，内存≥2GB，存储空间≥8GB。（响应文件中须提供国家认可的第三方检测机构出具的有关该功能检测报告复印件）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2.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Calibri" w:hAnsi="Calibri"/>
                <w:color w:val="auto"/>
                <w:sz w:val="18"/>
                <w:szCs w:val="18"/>
              </w:rPr>
              <w:br w:type="textWrapping"/>
            </w:r>
            <w:r>
              <w:rPr>
                <w:rFonts w:hint="eastAsia" w:ascii="Calibri" w:hAnsi="Calibri"/>
                <w:color w:val="auto"/>
                <w:sz w:val="18"/>
                <w:szCs w:val="18"/>
              </w:rPr>
              <w:t>3.整机内置触摸中控菜单，可查看当前正在运行的应用，支持应用切换，在全屏应用下无需退出全屏应用即可进行切换；支持应用关闭，以及关闭所有应用。</w:t>
            </w:r>
            <w:r>
              <w:rPr>
                <w:rFonts w:hint="eastAsia" w:ascii="Calibri" w:hAnsi="Calibri"/>
                <w:color w:val="auto"/>
                <w:sz w:val="18"/>
                <w:szCs w:val="18"/>
              </w:rPr>
              <w:br w:type="textWrapping"/>
            </w:r>
            <w:r>
              <w:rPr>
                <w:rFonts w:hint="eastAsia" w:ascii="Calibri" w:hAnsi="Calibri"/>
                <w:color w:val="auto"/>
                <w:sz w:val="18"/>
                <w:szCs w:val="18"/>
              </w:rPr>
              <w:t>4.整机具备智能手势识别功能，在整机全信号源通道下均可识别五指上、下、左、右方向手势，五指画 O、画~、左右晃动、缩/放方向手势滑动并调用相应功能。支持将各手势滑动方向自定义设置为无操作、熄屏、批注、桌面、半屏模式。</w:t>
            </w:r>
            <w:r>
              <w:rPr>
                <w:rFonts w:hint="eastAsia" w:ascii="Calibri" w:hAnsi="Calibri"/>
                <w:color w:val="auto"/>
                <w:sz w:val="18"/>
                <w:szCs w:val="18"/>
              </w:rPr>
              <w:br w:type="textWrapping"/>
            </w:r>
            <w:r>
              <w:rPr>
                <w:rFonts w:hint="eastAsia" w:ascii="Calibri" w:hAnsi="Calibri"/>
                <w:color w:val="auto"/>
                <w:sz w:val="18"/>
                <w:szCs w:val="18"/>
              </w:rPr>
              <w:t>入式系统内置互动白板支持全局漫游，并能在工具栏中对全局内容进行预览和移动。</w:t>
            </w:r>
            <w:r>
              <w:rPr>
                <w:rFonts w:hint="eastAsia" w:ascii="Calibri" w:hAnsi="Calibri"/>
                <w:color w:val="auto"/>
                <w:sz w:val="18"/>
                <w:szCs w:val="18"/>
              </w:rPr>
              <w:br w:type="textWrapping"/>
            </w:r>
            <w:r>
              <w:rPr>
                <w:rFonts w:hint="eastAsia" w:ascii="Calibri" w:hAnsi="Calibri"/>
                <w:color w:val="auto"/>
                <w:sz w:val="18"/>
                <w:szCs w:val="18"/>
              </w:rPr>
              <w:t>6.无PC状态下，嵌入式Android操作系统下可使用白板书写、WPS软件和网页浏览。</w:t>
            </w:r>
            <w:r>
              <w:rPr>
                <w:rFonts w:hint="eastAsia" w:ascii="Calibri" w:hAnsi="Calibri"/>
                <w:color w:val="auto"/>
                <w:sz w:val="18"/>
                <w:szCs w:val="18"/>
              </w:rPr>
              <w:br w:type="textWrapping"/>
            </w:r>
            <w:r>
              <w:rPr>
                <w:rFonts w:hint="eastAsia" w:ascii="Calibri" w:hAnsi="Calibri"/>
                <w:color w:val="auto"/>
                <w:sz w:val="18"/>
                <w:szCs w:val="18"/>
              </w:rPr>
              <w:t>在嵌入式Android操作系统下，能对TV多媒体USB所读取到的文件进行自动归类，可分类查找文档、板书、图片、音视频，检索后可直接在界面中打开。</w:t>
            </w:r>
            <w:r>
              <w:rPr>
                <w:rFonts w:hint="eastAsia" w:ascii="Calibri" w:hAnsi="Calibri"/>
                <w:color w:val="auto"/>
                <w:sz w:val="18"/>
                <w:szCs w:val="18"/>
              </w:rPr>
              <w:br w:type="textWrapping"/>
            </w:r>
            <w:r>
              <w:rPr>
                <w:rFonts w:hint="eastAsia" w:ascii="Calibri" w:hAnsi="Calibri"/>
                <w:color w:val="auto"/>
                <w:sz w:val="18"/>
                <w:szCs w:val="18"/>
              </w:rPr>
              <w:br w:type="textWrapping"/>
            </w:r>
            <w:r>
              <w:rPr>
                <w:rFonts w:hint="eastAsia" w:ascii="Calibri" w:hAnsi="Calibri"/>
                <w:color w:val="auto"/>
                <w:sz w:val="18"/>
                <w:szCs w:val="18"/>
              </w:rPr>
              <w:t>九、内置摄像头功能设计</w:t>
            </w:r>
            <w:r>
              <w:rPr>
                <w:rFonts w:hint="eastAsia" w:ascii="Calibri" w:hAnsi="Calibri"/>
                <w:color w:val="auto"/>
                <w:sz w:val="18"/>
                <w:szCs w:val="18"/>
              </w:rPr>
              <w:br w:type="textWrapping"/>
            </w:r>
            <w:r>
              <w:rPr>
                <w:rFonts w:hint="eastAsia" w:ascii="Calibri" w:hAnsi="Calibri"/>
                <w:color w:val="auto"/>
                <w:sz w:val="18"/>
                <w:szCs w:val="18"/>
              </w:rPr>
              <w:t>1.整机内置摄像头（非外扩），PC通道下支持通过视频展台软件调用摄像头进行二维码扫码识别。</w:t>
            </w:r>
            <w:r>
              <w:rPr>
                <w:rFonts w:hint="eastAsia" w:ascii="Calibri" w:hAnsi="Calibri"/>
                <w:color w:val="auto"/>
                <w:sz w:val="18"/>
                <w:szCs w:val="18"/>
              </w:rPr>
              <w:br w:type="textWrapping"/>
            </w:r>
            <w:r>
              <w:rPr>
                <w:rFonts w:hint="eastAsia" w:ascii="Calibri" w:hAnsi="Calibri"/>
                <w:color w:val="auto"/>
                <w:sz w:val="18"/>
                <w:szCs w:val="18"/>
              </w:rPr>
              <w:t>2.具备摄像头工作指示灯，摄像头运行时，有指示灯提示。（响应文件中须提供国家认可的第三方检测机构出具的有关该功能检测报告复印件）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3.整机上边框内置非独立摄像头，采用一体化集成设计，摄像头数量≥4个。（响应文件中须提供国家认可的第三方检测机构出具的有关该功能检测报告复印件）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4.整机内置至少三个摄像头，像素值均大于800 万。</w:t>
            </w:r>
            <w:r>
              <w:rPr>
                <w:rFonts w:hint="eastAsia" w:ascii="Calibri" w:hAnsi="Calibri"/>
                <w:color w:val="auto"/>
                <w:sz w:val="18"/>
                <w:szCs w:val="18"/>
              </w:rPr>
              <w:br w:type="textWrapping"/>
            </w:r>
            <w:r>
              <w:rPr>
                <w:rFonts w:hint="eastAsia" w:ascii="Calibri" w:hAnsi="Calibri"/>
                <w:color w:val="auto"/>
                <w:sz w:val="18"/>
                <w:szCs w:val="18"/>
              </w:rPr>
              <w:t>★5.整机上边框内置非独立式广角高清摄像头，视场角≥142度且水平视场角≥121度，支持输出4:3、16:9比例的图片和视频；在清晰度为2592 x 1944分辨率下，支持30帧的视频输出。（响应文件中须提供国家认可的第三方检测机构出具的有关该功能检测报告复印件）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6.整机上边框内置非独式广角摄像头和智能拼接摄像头， 均支持 3D 降噪算法和数字宽动态范围成像WDR 技术，支持输出 MJPG、 H.264 视频格式。</w:t>
            </w:r>
            <w:r>
              <w:rPr>
                <w:rFonts w:hint="eastAsia" w:ascii="Calibri" w:hAnsi="Calibri"/>
                <w:color w:val="auto"/>
                <w:sz w:val="18"/>
                <w:szCs w:val="18"/>
              </w:rPr>
              <w:br w:type="textWrapping"/>
            </w:r>
            <w:r>
              <w:rPr>
                <w:rFonts w:hint="eastAsia" w:ascii="Calibri" w:hAnsi="Calibri"/>
                <w:color w:val="auto"/>
                <w:sz w:val="18"/>
                <w:szCs w:val="18"/>
              </w:rPr>
              <w:t>7.整机上边框内置非独立的广角高清摄像头，在距离整机1.7米情况下，且拍摄范围可以覆盖摄像头垂直法线左右距离大于等于4米，可以实现人脸识别。</w:t>
            </w:r>
            <w:r>
              <w:rPr>
                <w:rFonts w:hint="eastAsia" w:ascii="Calibri" w:hAnsi="Calibri"/>
                <w:color w:val="auto"/>
                <w:sz w:val="18"/>
                <w:szCs w:val="18"/>
              </w:rPr>
              <w:br w:type="textWrapping"/>
            </w:r>
            <w:r>
              <w:rPr>
                <w:rFonts w:hint="eastAsia" w:ascii="Calibri" w:hAnsi="Calibri"/>
                <w:color w:val="auto"/>
                <w:sz w:val="18"/>
                <w:szCs w:val="18"/>
              </w:rPr>
              <w:t>8.整机上边框内置非独立式3个智能拼接摄像头，支持清晰度TV lines ≥ 1600 lines。</w:t>
            </w:r>
            <w:r>
              <w:rPr>
                <w:rFonts w:hint="eastAsia" w:ascii="Calibri" w:hAnsi="Calibri"/>
                <w:color w:val="auto"/>
                <w:sz w:val="18"/>
                <w:szCs w:val="18"/>
              </w:rPr>
              <w:br w:type="textWrapping"/>
            </w:r>
            <w:r>
              <w:rPr>
                <w:rFonts w:hint="eastAsia" w:ascii="Calibri" w:hAnsi="Calibri"/>
                <w:color w:val="auto"/>
                <w:sz w:val="18"/>
                <w:szCs w:val="18"/>
              </w:rPr>
              <w:t>★9.整机上边框内置非独立式摄像头，视场角≥141度且水平视场角≥139度，可拍摄≥1600万像素的照片，支持输出8192×2048分辨率的照片和视频，支持画面畸变矫正功能。（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10.整机支持距离摄像头位置≥10米距离的AI识别人脸。</w:t>
            </w:r>
            <w:r>
              <w:rPr>
                <w:rFonts w:hint="eastAsia" w:ascii="Calibri" w:hAnsi="Calibri"/>
                <w:color w:val="auto"/>
                <w:sz w:val="18"/>
                <w:szCs w:val="18"/>
              </w:rPr>
              <w:br w:type="textWrapping"/>
            </w:r>
            <w:r>
              <w:rPr>
                <w:rFonts w:hint="eastAsia" w:ascii="Calibri" w:hAnsi="Calibri"/>
                <w:color w:val="auto"/>
                <w:sz w:val="18"/>
                <w:szCs w:val="18"/>
              </w:rPr>
              <w:t>11.整机摄像头支持人脸识别、清点人数、随机抽人；识别所有学生，显示标记，然后随机抽选，同时显示标记不少于60人。</w:t>
            </w:r>
            <w:r>
              <w:rPr>
                <w:rFonts w:hint="eastAsia" w:ascii="Calibri" w:hAnsi="Calibri"/>
                <w:color w:val="auto"/>
                <w:sz w:val="18"/>
                <w:szCs w:val="18"/>
              </w:rPr>
              <w:br w:type="textWrapping"/>
            </w:r>
            <w:r>
              <w:rPr>
                <w:rFonts w:hint="eastAsia" w:ascii="Calibri" w:hAnsi="Calibri"/>
                <w:color w:val="auto"/>
                <w:sz w:val="18"/>
                <w:szCs w:val="18"/>
              </w:rPr>
              <w:t>12.整机摄像头支持环境色温判断，根据环境调节合适的显示图像效果。（响应文件中须提供国家认可的第三方检测机构出具的有关该功能检测报告复印件）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13.整机支持上边框内置非独立摄像头模组，同时输出至少 3 路视频流，同时支持课堂远程巡课、课堂教学数据采集、本地画面预览（拍照或视频录制）。（响应文件中须提供国家认可的第三方检测机构出具的有关该功能检测报告复印件）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14.整机支持通过人脸识别进行登录账号。</w:t>
            </w:r>
            <w:r>
              <w:rPr>
                <w:rFonts w:hint="eastAsia" w:ascii="Calibri" w:hAnsi="Calibri"/>
                <w:color w:val="auto"/>
                <w:sz w:val="18"/>
                <w:szCs w:val="18"/>
              </w:rPr>
              <w:br w:type="textWrapping"/>
            </w:r>
            <w:r>
              <w:rPr>
                <w:rFonts w:hint="eastAsia" w:ascii="Calibri" w:hAnsi="Calibri"/>
                <w:color w:val="auto"/>
                <w:sz w:val="18"/>
                <w:szCs w:val="18"/>
              </w:rPr>
              <w:br w:type="textWrapping"/>
            </w:r>
            <w:r>
              <w:rPr>
                <w:rFonts w:hint="eastAsia" w:ascii="Calibri" w:hAnsi="Calibri"/>
                <w:color w:val="auto"/>
                <w:sz w:val="18"/>
                <w:szCs w:val="18"/>
              </w:rPr>
              <w:t>十、音频效果</w:t>
            </w:r>
            <w:r>
              <w:rPr>
                <w:rFonts w:hint="eastAsia" w:ascii="Calibri" w:hAnsi="Calibri"/>
                <w:color w:val="auto"/>
                <w:sz w:val="18"/>
                <w:szCs w:val="18"/>
              </w:rPr>
              <w:br w:type="textWrapping"/>
            </w:r>
            <w:r>
              <w:rPr>
                <w:rFonts w:hint="eastAsia" w:ascii="Calibri" w:hAnsi="Calibri"/>
                <w:color w:val="auto"/>
                <w:sz w:val="18"/>
                <w:szCs w:val="18"/>
              </w:rPr>
              <w:t>★1.整机内置2.2声道扬声器，位于设备上边框，顶置朝前发声，前朝向10W高音扬声器2个，上朝向20W中低音扬声器2个，额定总功率60W。（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2.整机可选择高级音效设置，支持在左右声道平衡显示范围中进行更改；中低频段显示调节范围125Hz～1KHz，高频段显示调节范围 2KHz～16KHz，分贝显示-12dB～12dB 调节范围。</w:t>
            </w:r>
            <w:r>
              <w:rPr>
                <w:rFonts w:hint="eastAsia" w:ascii="Calibri" w:hAnsi="Calibri"/>
                <w:color w:val="auto"/>
                <w:sz w:val="18"/>
                <w:szCs w:val="18"/>
              </w:rPr>
              <w:br w:type="textWrapping"/>
            </w:r>
            <w:r>
              <w:rPr>
                <w:rFonts w:hint="eastAsia" w:ascii="Calibri" w:hAnsi="Calibri"/>
                <w:color w:val="auto"/>
                <w:sz w:val="18"/>
                <w:szCs w:val="18"/>
              </w:rPr>
              <w:t>★3.整机内置非独立外扩展的8阵列麦克风，拾音角度≥180°，可用于对教室环境音频进行采集，拾音距离≥12m。（响应文件中须提供国家认可的第三方检测机构出具的有关该功能检测报告复印件）</w:t>
            </w:r>
            <w:r>
              <w:rPr>
                <w:rFonts w:hint="eastAsia" w:ascii="Calibri" w:hAnsi="Calibri"/>
                <w:color w:val="auto"/>
                <w:sz w:val="18"/>
                <w:szCs w:val="18"/>
              </w:rPr>
              <w:br w:type="textWrapping"/>
            </w:r>
            <w:r>
              <w:rPr>
                <w:rFonts w:hint="eastAsia" w:ascii="Calibri" w:hAnsi="Calibri"/>
                <w:color w:val="auto"/>
                <w:sz w:val="18"/>
                <w:szCs w:val="18"/>
              </w:rPr>
              <w:t>4.整机内置扬声器采用缝隙发声技术，喇叭采用槽式开口设计，不大于5.8mm</w:t>
            </w:r>
            <w:r>
              <w:rPr>
                <w:rFonts w:hint="eastAsia" w:ascii="Calibri" w:hAnsi="Calibri"/>
                <w:color w:val="auto"/>
                <w:sz w:val="18"/>
                <w:szCs w:val="18"/>
              </w:rPr>
              <w:br w:type="textWrapping"/>
            </w:r>
            <w:r>
              <w:rPr>
                <w:rFonts w:hint="eastAsia" w:ascii="Calibri" w:hAnsi="Calibri"/>
                <w:color w:val="auto"/>
                <w:sz w:val="18"/>
                <w:szCs w:val="18"/>
              </w:rPr>
              <w:t>5.整机扬声器在100%音量下，可做到1米处声压级≥88db，10米处声压级≥79dB</w:t>
            </w:r>
            <w:r>
              <w:rPr>
                <w:rFonts w:hint="eastAsia" w:ascii="Calibri" w:hAnsi="Calibri"/>
                <w:color w:val="auto"/>
                <w:sz w:val="18"/>
                <w:szCs w:val="18"/>
              </w:rPr>
              <w:br w:type="textWrapping"/>
            </w:r>
            <w:r>
              <w:rPr>
                <w:rFonts w:hint="eastAsia" w:ascii="Calibri" w:hAnsi="Calibri"/>
                <w:color w:val="auto"/>
                <w:sz w:val="18"/>
                <w:szCs w:val="18"/>
              </w:rPr>
              <w:t>6.内置麦克风无需外接线材连接，无任何可见外接线材及模块化拼接痕迹，未占用整机设备端口。</w:t>
            </w:r>
            <w:r>
              <w:rPr>
                <w:rFonts w:hint="eastAsia" w:ascii="Calibri" w:hAnsi="Calibri"/>
                <w:color w:val="auto"/>
                <w:sz w:val="18"/>
                <w:szCs w:val="18"/>
              </w:rPr>
              <w:br w:type="textWrapping"/>
            </w:r>
            <w:r>
              <w:rPr>
                <w:rFonts w:hint="eastAsia" w:ascii="Calibri" w:hAnsi="Calibri"/>
                <w:color w:val="auto"/>
                <w:sz w:val="18"/>
                <w:szCs w:val="18"/>
              </w:rPr>
              <w:t>7.支持标准、听力、观影和AI空间感知音效模式，AI空间感知音效模式可通过内置麦克风采集教室物理环境声音，自动生成符合当前教室物理环境的频段、音量、音效。</w:t>
            </w:r>
            <w:r>
              <w:rPr>
                <w:rFonts w:hint="eastAsia" w:ascii="Calibri" w:hAnsi="Calibri"/>
                <w:color w:val="auto"/>
                <w:sz w:val="18"/>
                <w:szCs w:val="18"/>
              </w:rPr>
              <w:br w:type="textWrapping"/>
            </w:r>
            <w:r>
              <w:rPr>
                <w:rFonts w:hint="eastAsia" w:ascii="Calibri" w:hAnsi="Calibri"/>
                <w:color w:val="auto"/>
                <w:sz w:val="18"/>
                <w:szCs w:val="18"/>
              </w:rPr>
              <w:t>十一、其他要求</w:t>
            </w:r>
            <w:r>
              <w:rPr>
                <w:rFonts w:hint="eastAsia" w:ascii="Calibri" w:hAnsi="Calibri"/>
                <w:color w:val="auto"/>
                <w:sz w:val="18"/>
                <w:szCs w:val="18"/>
              </w:rPr>
              <w:br w:type="textWrapping"/>
            </w:r>
            <w:r>
              <w:rPr>
                <w:rFonts w:hint="eastAsia" w:ascii="Calibri" w:hAnsi="Calibri"/>
                <w:color w:val="auto"/>
                <w:sz w:val="18"/>
                <w:szCs w:val="18"/>
              </w:rPr>
              <w:t>1.为确保设备功能真实有效，正式供货时业主有权要求供应商提供与招标文件技术要求及功能符合的设备一套，根据招标文件进行所有性能参数的逐条核对，作为项目验收的依据。所提供设备若不符合招标要求，视为虚假应标并根据招标法及招标文件要求追究法律责任。</w:t>
            </w:r>
            <w:r>
              <w:rPr>
                <w:rFonts w:hint="eastAsia" w:ascii="Calibri" w:hAnsi="Calibri"/>
                <w:color w:val="auto"/>
                <w:sz w:val="18"/>
                <w:szCs w:val="18"/>
              </w:rPr>
              <w:br w:type="textWrapping"/>
            </w:r>
            <w:r>
              <w:rPr>
                <w:rFonts w:hint="eastAsia" w:ascii="Calibri" w:hAnsi="Calibri"/>
                <w:color w:val="auto"/>
                <w:sz w:val="18"/>
                <w:szCs w:val="18"/>
              </w:rPr>
              <w:t>2.为确保所供应货物为全新且含质保产品，正式供货时中标单位须提供制造商针对此项目的供货证明原件、售后服务承诺函原件，且均需加盖投标人公章。</w:t>
            </w:r>
          </w:p>
        </w:tc>
        <w:tc>
          <w:tcPr>
            <w:tcW w:w="464" w:type="pct"/>
            <w:vAlign w:val="center"/>
          </w:tcPr>
          <w:p w14:paraId="6DBF7130">
            <w:pPr>
              <w:jc w:val="center"/>
              <w:rPr>
                <w:rFonts w:ascii="新宋体" w:hAnsi="新宋体" w:eastAsia="新宋体" w:cs="宋体"/>
                <w:color w:val="auto"/>
                <w:sz w:val="18"/>
                <w:szCs w:val="18"/>
              </w:rPr>
            </w:pPr>
            <w:r>
              <w:rPr>
                <w:rFonts w:hint="eastAsia" w:ascii="新宋体" w:hAnsi="新宋体" w:eastAsia="新宋体"/>
                <w:color w:val="auto"/>
                <w:sz w:val="18"/>
                <w:szCs w:val="18"/>
              </w:rPr>
              <w:t>1</w:t>
            </w:r>
          </w:p>
        </w:tc>
        <w:tc>
          <w:tcPr>
            <w:tcW w:w="311" w:type="pct"/>
            <w:vAlign w:val="center"/>
          </w:tcPr>
          <w:p w14:paraId="07323D7C">
            <w:pPr>
              <w:jc w:val="center"/>
              <w:rPr>
                <w:rFonts w:ascii="新宋体" w:hAnsi="新宋体" w:eastAsia="新宋体" w:cs="宋体"/>
                <w:color w:val="auto"/>
                <w:sz w:val="18"/>
                <w:szCs w:val="18"/>
              </w:rPr>
            </w:pPr>
            <w:r>
              <w:rPr>
                <w:rFonts w:hint="eastAsia" w:ascii="新宋体" w:hAnsi="新宋体" w:eastAsia="新宋体"/>
                <w:color w:val="auto"/>
                <w:sz w:val="18"/>
                <w:szCs w:val="18"/>
              </w:rPr>
              <w:t>套</w:t>
            </w:r>
          </w:p>
        </w:tc>
      </w:tr>
    </w:tbl>
    <w:p w14:paraId="5EC83AFE">
      <w:pPr>
        <w:widowControl/>
        <w:spacing w:line="600" w:lineRule="exact"/>
        <w:rPr>
          <w:rFonts w:hint="eastAsia" w:ascii="宋体" w:hAnsi="宋体" w:cs="宋体"/>
          <w:color w:val="auto"/>
          <w:szCs w:val="21"/>
        </w:rPr>
      </w:pPr>
      <w:bookmarkStart w:id="11" w:name="_GoBack"/>
      <w:bookmarkEnd w:id="11"/>
    </w:p>
    <w:p w14:paraId="323D572E">
      <w:pPr>
        <w:widowControl/>
        <w:spacing w:line="600" w:lineRule="exact"/>
        <w:rPr>
          <w:rFonts w:hint="eastAsia" w:ascii="宋体" w:hAnsi="宋体" w:cs="宋体"/>
          <w:color w:val="auto"/>
          <w:szCs w:val="21"/>
        </w:rPr>
      </w:pPr>
    </w:p>
    <w:p w14:paraId="4C1E8254">
      <w:pPr>
        <w:rPr>
          <w:rFonts w:hint="eastAsia" w:ascii="宋体" w:hAnsi="宋体" w:cs="宋体"/>
          <w:b/>
          <w:bCs/>
          <w:color w:val="auto"/>
          <w:kern w:val="0"/>
          <w:szCs w:val="21"/>
          <w:lang w:bidi="ar"/>
        </w:rPr>
      </w:pPr>
      <w:bookmarkStart w:id="9" w:name="OLE_LINK28"/>
      <w:bookmarkStart w:id="10" w:name="OLE_LINK27"/>
      <w:r>
        <w:rPr>
          <w:rFonts w:hint="eastAsia" w:ascii="宋体" w:hAnsi="宋体" w:cs="宋体"/>
          <w:b/>
          <w:bCs/>
          <w:color w:val="auto"/>
          <w:kern w:val="0"/>
          <w:szCs w:val="21"/>
          <w:lang w:bidi="ar"/>
        </w:rPr>
        <w:t>商务要求：</w:t>
      </w:r>
    </w:p>
    <w:bookmarkEnd w:id="9"/>
    <w:bookmarkEnd w:id="10"/>
    <w:p w14:paraId="3B011130">
      <w:pPr>
        <w:rPr>
          <w:rFonts w:hint="eastAsia" w:asciiTheme="minorHAnsi" w:hAnsiTheme="minorHAnsi" w:eastAsiaTheme="minorEastAsia" w:cstheme="minorBidi"/>
          <w:color w:val="auto"/>
          <w:szCs w:val="22"/>
        </w:rPr>
      </w:pPr>
    </w:p>
    <w:tbl>
      <w:tblPr>
        <w:tblStyle w:val="2"/>
        <w:tblpPr w:leftFromText="180" w:rightFromText="180" w:vertAnchor="text" w:tblpXSpec="center" w:tblpY="1"/>
        <w:tblOverlap w:val="never"/>
        <w:tblW w:w="47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076"/>
        <w:gridCol w:w="5928"/>
      </w:tblGrid>
      <w:tr w14:paraId="2D85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6E9BD068">
            <w:pPr>
              <w:widowControl/>
              <w:snapToGrid w:val="0"/>
              <w:spacing w:line="340" w:lineRule="exact"/>
              <w:jc w:val="left"/>
              <w:textAlignment w:val="center"/>
              <w:rPr>
                <w:rFonts w:ascii="宋体" w:hAnsi="宋体" w:cs="宋体"/>
                <w:b/>
                <w:bCs/>
                <w:color w:val="auto"/>
                <w:kern w:val="0"/>
                <w:sz w:val="18"/>
                <w:szCs w:val="18"/>
                <w:lang w:bidi="ar"/>
              </w:rPr>
            </w:pPr>
            <w:r>
              <w:rPr>
                <w:rFonts w:ascii="宋体" w:hAnsi="宋体" w:cs="宋体"/>
                <w:b/>
                <w:bCs/>
                <w:color w:val="auto"/>
                <w:sz w:val="18"/>
                <w:szCs w:val="18"/>
              </w:rPr>
              <w:t>交付使用时间及地点</w:t>
            </w:r>
          </w:p>
        </w:tc>
        <w:tc>
          <w:tcPr>
            <w:tcW w:w="3703" w:type="pct"/>
            <w:vAlign w:val="center"/>
          </w:tcPr>
          <w:p w14:paraId="1957F9F0">
            <w:pPr>
              <w:widowControl/>
              <w:snapToGrid w:val="0"/>
              <w:spacing w:line="340" w:lineRule="exact"/>
              <w:jc w:val="left"/>
              <w:textAlignment w:val="center"/>
              <w:rPr>
                <w:rFonts w:ascii="宋体" w:hAnsi="宋体" w:cs="宋体"/>
                <w:color w:val="auto"/>
                <w:kern w:val="0"/>
                <w:sz w:val="18"/>
                <w:szCs w:val="18"/>
              </w:rPr>
            </w:pPr>
            <w:r>
              <w:rPr>
                <w:rFonts w:hint="eastAsia" w:ascii="宋体" w:hAnsi="宋体" w:cs="宋体"/>
                <w:color w:val="auto"/>
                <w:kern w:val="0"/>
                <w:sz w:val="18"/>
                <w:szCs w:val="18"/>
              </w:rPr>
              <w:t>1.</w:t>
            </w:r>
            <w:r>
              <w:rPr>
                <w:rFonts w:hint="eastAsia" w:ascii="宋体" w:hAnsi="宋体" w:cs="宋体"/>
                <w:color w:val="auto"/>
                <w:sz w:val="18"/>
                <w:szCs w:val="18"/>
              </w:rPr>
              <w:t>交付使用时间</w:t>
            </w:r>
            <w:r>
              <w:rPr>
                <w:rFonts w:hint="eastAsia" w:ascii="宋体" w:hAnsi="宋体" w:cs="宋体"/>
                <w:color w:val="auto"/>
                <w:kern w:val="0"/>
                <w:sz w:val="18"/>
                <w:szCs w:val="18"/>
              </w:rPr>
              <w:t>：合同签订之日起30个日历日内完成。</w:t>
            </w:r>
          </w:p>
          <w:p w14:paraId="60F0E144">
            <w:pPr>
              <w:widowControl/>
              <w:snapToGrid w:val="0"/>
              <w:spacing w:line="340" w:lineRule="exact"/>
              <w:jc w:val="left"/>
              <w:textAlignment w:val="center"/>
              <w:rPr>
                <w:rFonts w:ascii="宋体" w:hAnsi="宋体" w:cs="宋体"/>
                <w:color w:val="auto"/>
                <w:kern w:val="0"/>
                <w:sz w:val="18"/>
                <w:szCs w:val="18"/>
                <w:lang w:bidi="ar"/>
              </w:rPr>
            </w:pPr>
            <w:r>
              <w:rPr>
                <w:rFonts w:ascii="宋体" w:hAnsi="宋体" w:cs="宋体"/>
                <w:color w:val="auto"/>
                <w:sz w:val="18"/>
                <w:szCs w:val="18"/>
              </w:rPr>
              <w:t>2.交货</w:t>
            </w:r>
            <w:r>
              <w:rPr>
                <w:rFonts w:hint="eastAsia" w:ascii="宋体" w:hAnsi="宋体" w:cs="宋体"/>
                <w:color w:val="auto"/>
                <w:sz w:val="18"/>
                <w:szCs w:val="18"/>
              </w:rPr>
              <w:t>施工</w:t>
            </w:r>
            <w:r>
              <w:rPr>
                <w:rFonts w:ascii="宋体" w:hAnsi="宋体" w:cs="宋体"/>
                <w:color w:val="auto"/>
                <w:sz w:val="18"/>
                <w:szCs w:val="18"/>
              </w:rPr>
              <w:t>地点：</w:t>
            </w:r>
            <w:r>
              <w:rPr>
                <w:rFonts w:hint="eastAsia" w:ascii="宋体" w:hAnsi="宋体" w:cs="宋体"/>
                <w:color w:val="auto"/>
                <w:sz w:val="18"/>
                <w:szCs w:val="18"/>
              </w:rPr>
              <w:t>广西桂林市采购人指定地点</w:t>
            </w:r>
            <w:r>
              <w:rPr>
                <w:rFonts w:ascii="宋体" w:hAnsi="宋体" w:cs="宋体"/>
                <w:color w:val="auto"/>
                <w:sz w:val="18"/>
                <w:szCs w:val="18"/>
              </w:rPr>
              <w:t>。</w:t>
            </w:r>
          </w:p>
        </w:tc>
      </w:tr>
      <w:tr w14:paraId="2989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2A6C3DAD">
            <w:pPr>
              <w:widowControl/>
              <w:snapToGrid w:val="0"/>
              <w:spacing w:line="340" w:lineRule="exact"/>
              <w:jc w:val="left"/>
              <w:textAlignment w:val="center"/>
              <w:rPr>
                <w:rFonts w:ascii="宋体" w:hAnsi="宋体" w:cs="宋体"/>
                <w:b/>
                <w:bCs/>
                <w:color w:val="auto"/>
                <w:kern w:val="0"/>
                <w:sz w:val="18"/>
                <w:szCs w:val="18"/>
                <w:lang w:bidi="ar"/>
              </w:rPr>
            </w:pPr>
            <w:r>
              <w:rPr>
                <w:rFonts w:ascii="宋体" w:hAnsi="宋体" w:cs="宋体"/>
                <w:b/>
                <w:bCs/>
                <w:color w:val="auto"/>
                <w:sz w:val="18"/>
                <w:szCs w:val="18"/>
              </w:rPr>
              <w:t>质保期</w:t>
            </w:r>
          </w:p>
        </w:tc>
        <w:tc>
          <w:tcPr>
            <w:tcW w:w="3703" w:type="pct"/>
            <w:vAlign w:val="center"/>
          </w:tcPr>
          <w:p w14:paraId="243318B1">
            <w:pPr>
              <w:widowControl/>
              <w:snapToGrid w:val="0"/>
              <w:spacing w:line="340" w:lineRule="exact"/>
              <w:jc w:val="left"/>
              <w:textAlignment w:val="center"/>
              <w:rPr>
                <w:rFonts w:ascii="宋体" w:hAnsi="宋体" w:cs="宋体"/>
                <w:color w:val="auto"/>
                <w:kern w:val="0"/>
                <w:sz w:val="18"/>
                <w:szCs w:val="18"/>
                <w:lang w:bidi="ar"/>
              </w:rPr>
            </w:pPr>
            <w:r>
              <w:rPr>
                <w:rFonts w:ascii="宋体" w:hAnsi="宋体" w:cs="宋体"/>
                <w:color w:val="auto"/>
                <w:sz w:val="18"/>
                <w:szCs w:val="18"/>
              </w:rPr>
              <w:t>按国家有关规定或厂家承诺实行“三包”，</w:t>
            </w:r>
            <w:r>
              <w:rPr>
                <w:rFonts w:hint="eastAsia" w:ascii="宋体" w:hAnsi="宋体" w:cs="宋体"/>
                <w:b/>
                <w:bCs/>
                <w:color w:val="auto"/>
                <w:kern w:val="0"/>
                <w:sz w:val="18"/>
                <w:szCs w:val="18"/>
              </w:rPr>
              <w:t>质保期从验收合格之日起整机不少于</w:t>
            </w:r>
            <w:r>
              <w:rPr>
                <w:rFonts w:hint="eastAsia" w:ascii="宋体" w:hAnsi="宋体" w:cs="宋体"/>
                <w:b/>
                <w:bCs/>
                <w:color w:val="auto"/>
                <w:kern w:val="0"/>
                <w:sz w:val="18"/>
                <w:szCs w:val="18"/>
                <w:u w:val="single"/>
              </w:rPr>
              <w:t>1</w:t>
            </w:r>
            <w:r>
              <w:rPr>
                <w:rFonts w:hint="eastAsia" w:ascii="宋体" w:hAnsi="宋体" w:cs="宋体"/>
                <w:b/>
                <w:bCs/>
                <w:color w:val="auto"/>
                <w:kern w:val="0"/>
                <w:sz w:val="18"/>
                <w:szCs w:val="18"/>
              </w:rPr>
              <w:t>年</w:t>
            </w:r>
            <w:r>
              <w:rPr>
                <w:rFonts w:hint="eastAsia" w:ascii="宋体" w:hAnsi="宋体" w:cs="宋体"/>
                <w:color w:val="auto"/>
                <w:kern w:val="0"/>
                <w:sz w:val="18"/>
                <w:szCs w:val="18"/>
              </w:rPr>
              <w:t>（技术参数中有特别指明质保期的按参数要求，厂家质保期高于采购要求的按厂家质保）</w:t>
            </w:r>
            <w:r>
              <w:rPr>
                <w:rFonts w:ascii="宋体" w:hAnsi="宋体" w:cs="宋体"/>
                <w:color w:val="auto"/>
                <w:sz w:val="18"/>
                <w:szCs w:val="18"/>
              </w:rPr>
              <w:t>，质保期内全免费上门维修、免费更换零部件，质保期过后提供终身技术支持和维护。</w:t>
            </w:r>
          </w:p>
        </w:tc>
      </w:tr>
      <w:tr w14:paraId="2BD8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43DF3830">
            <w:pPr>
              <w:widowControl/>
              <w:snapToGrid w:val="0"/>
              <w:spacing w:line="340" w:lineRule="exact"/>
              <w:jc w:val="left"/>
              <w:textAlignment w:val="center"/>
              <w:rPr>
                <w:rFonts w:ascii="宋体" w:hAnsi="宋体" w:cs="宋体"/>
                <w:b/>
                <w:bCs/>
                <w:color w:val="auto"/>
                <w:kern w:val="0"/>
                <w:sz w:val="18"/>
                <w:szCs w:val="18"/>
                <w:lang w:bidi="ar"/>
              </w:rPr>
            </w:pPr>
            <w:r>
              <w:rPr>
                <w:rFonts w:hint="eastAsia" w:ascii="宋体" w:hAnsi="宋体" w:cs="宋体"/>
                <w:b/>
                <w:bCs/>
                <w:color w:val="auto"/>
                <w:kern w:val="0"/>
                <w:sz w:val="18"/>
                <w:szCs w:val="18"/>
              </w:rPr>
              <w:t>产品质量与售后服务要求</w:t>
            </w:r>
          </w:p>
        </w:tc>
        <w:tc>
          <w:tcPr>
            <w:tcW w:w="3703" w:type="pct"/>
            <w:vAlign w:val="center"/>
          </w:tcPr>
          <w:p w14:paraId="3E5BE11F">
            <w:pPr>
              <w:widowControl/>
              <w:snapToGrid w:val="0"/>
              <w:spacing w:line="340" w:lineRule="exact"/>
              <w:jc w:val="left"/>
              <w:rPr>
                <w:rFonts w:ascii="宋体" w:hAnsi="宋体" w:cs="宋体"/>
                <w:color w:val="auto"/>
                <w:sz w:val="18"/>
                <w:szCs w:val="18"/>
              </w:rPr>
            </w:pPr>
            <w:r>
              <w:rPr>
                <w:rFonts w:ascii="宋体" w:hAnsi="宋体" w:cs="宋体"/>
                <w:color w:val="auto"/>
                <w:sz w:val="18"/>
                <w:szCs w:val="18"/>
              </w:rPr>
              <w:t>1、</w:t>
            </w:r>
            <w:r>
              <w:rPr>
                <w:rFonts w:hint="eastAsia" w:ascii="宋体" w:hAnsi="宋体" w:cs="宋体"/>
                <w:color w:val="auto"/>
                <w:sz w:val="18"/>
                <w:szCs w:val="18"/>
              </w:rPr>
              <w:t>验收时，采购方将严格按照采购文件要求进行验收，如交付产品不能满足采购要求和合同约定质量标准的视为验收不合格，双方还有异议则邀请专业的机构做技术检测，所有费用由中标商负责，同时中标供应商需承担被采购人终止合同的一切风险和费用。</w:t>
            </w:r>
          </w:p>
          <w:p w14:paraId="7CC6513A">
            <w:pPr>
              <w:widowControl/>
              <w:snapToGrid w:val="0"/>
              <w:spacing w:line="340" w:lineRule="exact"/>
              <w:jc w:val="left"/>
              <w:textAlignment w:val="center"/>
              <w:rPr>
                <w:rFonts w:ascii="宋体" w:hAnsi="宋体" w:cs="宋体"/>
                <w:color w:val="auto"/>
                <w:kern w:val="0"/>
                <w:sz w:val="18"/>
                <w:szCs w:val="18"/>
                <w:lang w:bidi="ar"/>
              </w:rPr>
            </w:pPr>
            <w:r>
              <w:rPr>
                <w:rFonts w:ascii="宋体" w:hAnsi="宋体" w:cs="宋体"/>
                <w:color w:val="auto"/>
                <w:sz w:val="18"/>
                <w:szCs w:val="18"/>
              </w:rPr>
              <w:t>2、故障响应时间：</w:t>
            </w:r>
            <w:r>
              <w:rPr>
                <w:rFonts w:hint="eastAsia" w:ascii="宋体" w:hAnsi="宋体" w:cs="宋体"/>
                <w:color w:val="auto"/>
                <w:kern w:val="0"/>
                <w:sz w:val="18"/>
                <w:szCs w:val="18"/>
              </w:rPr>
              <w:t>中标供应商收到采购人故障维修通知后30分钟内</w:t>
            </w:r>
            <w:r>
              <w:rPr>
                <w:rFonts w:hint="eastAsia" w:ascii="宋体" w:hAnsi="宋体" w:cs="宋体"/>
                <w:color w:val="auto"/>
                <w:sz w:val="18"/>
                <w:szCs w:val="18"/>
              </w:rPr>
              <w:t>电话服务应答</w:t>
            </w:r>
            <w:r>
              <w:rPr>
                <w:rFonts w:hint="eastAsia" w:ascii="宋体" w:hAnsi="宋体" w:cs="宋体"/>
                <w:color w:val="auto"/>
                <w:kern w:val="0"/>
                <w:sz w:val="18"/>
                <w:szCs w:val="18"/>
              </w:rPr>
              <w:t>，2小时内到达现场进行维修，4小时内排除故障，</w:t>
            </w:r>
            <w:r>
              <w:rPr>
                <w:rFonts w:hint="eastAsia" w:ascii="宋体" w:hAnsi="宋体" w:cs="宋体"/>
                <w:color w:val="auto"/>
                <w:sz w:val="18"/>
                <w:szCs w:val="18"/>
              </w:rPr>
              <w:t>如24小时内无法修复的，质保期内中标供应商应无条件更换新设备或提供代用设备，或采取使设备可正常运转的措施。</w:t>
            </w:r>
          </w:p>
        </w:tc>
      </w:tr>
      <w:tr w14:paraId="5AC7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3DF1040F">
            <w:pPr>
              <w:spacing w:line="340" w:lineRule="exact"/>
              <w:jc w:val="left"/>
              <w:rPr>
                <w:rFonts w:ascii="宋体" w:hAnsi="宋体" w:cs="宋体"/>
                <w:b/>
                <w:bCs/>
                <w:color w:val="auto"/>
                <w:kern w:val="0"/>
                <w:sz w:val="18"/>
                <w:szCs w:val="18"/>
                <w:lang w:bidi="ar"/>
              </w:rPr>
            </w:pPr>
            <w:r>
              <w:rPr>
                <w:rFonts w:hint="eastAsia" w:ascii="宋体" w:hAnsi="宋体" w:cs="宋体"/>
                <w:b/>
                <w:bCs/>
                <w:color w:val="auto"/>
                <w:sz w:val="18"/>
                <w:szCs w:val="18"/>
              </w:rPr>
              <w:t>实施和安装要求</w:t>
            </w:r>
          </w:p>
        </w:tc>
        <w:tc>
          <w:tcPr>
            <w:tcW w:w="3703" w:type="pct"/>
            <w:vAlign w:val="center"/>
          </w:tcPr>
          <w:p w14:paraId="18E66F43">
            <w:pPr>
              <w:spacing w:line="340" w:lineRule="exact"/>
              <w:jc w:val="left"/>
              <w:rPr>
                <w:rFonts w:ascii="宋体" w:hAnsi="宋体" w:cs="宋体"/>
                <w:color w:val="auto"/>
                <w:sz w:val="18"/>
                <w:szCs w:val="18"/>
              </w:rPr>
            </w:pPr>
            <w:r>
              <w:rPr>
                <w:rFonts w:hint="eastAsia" w:ascii="宋体" w:hAnsi="宋体" w:cs="宋体"/>
                <w:color w:val="auto"/>
                <w:sz w:val="18"/>
                <w:szCs w:val="18"/>
              </w:rPr>
              <w:t>本项目为交钥匙工程，中标供应商需应严格按投标产品的安装规范要求进行安装调试，保证设备正常运行，质量合格。</w:t>
            </w:r>
          </w:p>
          <w:p w14:paraId="00DAD8BC">
            <w:pPr>
              <w:spacing w:line="340" w:lineRule="exact"/>
              <w:jc w:val="left"/>
              <w:rPr>
                <w:rFonts w:ascii="宋体" w:hAnsi="宋体" w:cs="宋体"/>
                <w:color w:val="auto"/>
                <w:sz w:val="18"/>
                <w:szCs w:val="18"/>
              </w:rPr>
            </w:pPr>
            <w:r>
              <w:rPr>
                <w:rFonts w:hint="eastAsia" w:ascii="宋体" w:hAnsi="宋体" w:cs="宋体"/>
                <w:color w:val="auto"/>
                <w:sz w:val="18"/>
                <w:szCs w:val="18"/>
              </w:rPr>
              <w:t>（1）根据采购要求的工期提供项目实施方案及进度安排计划表；</w:t>
            </w:r>
          </w:p>
          <w:p w14:paraId="7898B3AC">
            <w:pPr>
              <w:spacing w:line="340" w:lineRule="exact"/>
              <w:jc w:val="left"/>
              <w:rPr>
                <w:rFonts w:ascii="宋体" w:hAnsi="宋体" w:cs="宋体"/>
                <w:color w:val="auto"/>
                <w:sz w:val="18"/>
                <w:szCs w:val="18"/>
              </w:rPr>
            </w:pPr>
            <w:r>
              <w:rPr>
                <w:rFonts w:hint="eastAsia" w:ascii="宋体" w:hAnsi="宋体" w:cs="宋体"/>
                <w:bCs/>
                <w:color w:val="auto"/>
                <w:sz w:val="18"/>
                <w:szCs w:val="18"/>
              </w:rPr>
              <w:t>（2）</w:t>
            </w:r>
            <w:r>
              <w:rPr>
                <w:rFonts w:hint="eastAsia" w:ascii="宋体" w:hAnsi="宋体" w:cs="宋体"/>
                <w:color w:val="auto"/>
                <w:sz w:val="18"/>
                <w:szCs w:val="18"/>
              </w:rPr>
              <w:t>供应商必须服从采购单位现场负责人的指挥，按指定地点进行设备安装、调试，确保设备安装符合国家现行技术规范标准；</w:t>
            </w:r>
          </w:p>
          <w:p w14:paraId="3B8DE74B">
            <w:pPr>
              <w:spacing w:line="340" w:lineRule="exact"/>
              <w:jc w:val="left"/>
              <w:rPr>
                <w:rFonts w:ascii="宋体" w:hAnsi="宋体" w:cs="宋体"/>
                <w:color w:val="auto"/>
                <w:sz w:val="18"/>
                <w:szCs w:val="18"/>
              </w:rPr>
            </w:pPr>
            <w:r>
              <w:rPr>
                <w:rFonts w:hint="eastAsia" w:ascii="宋体" w:hAnsi="宋体" w:cs="宋体"/>
                <w:color w:val="auto"/>
                <w:sz w:val="18"/>
                <w:szCs w:val="18"/>
              </w:rPr>
              <w:t>（3）安装过程中的所有安全保障由供应商自行负责；</w:t>
            </w:r>
          </w:p>
          <w:p w14:paraId="4588C814">
            <w:pPr>
              <w:spacing w:line="340" w:lineRule="exact"/>
              <w:jc w:val="left"/>
              <w:rPr>
                <w:rFonts w:ascii="宋体" w:hAnsi="宋体" w:cs="宋体"/>
                <w:color w:val="auto"/>
                <w:kern w:val="0"/>
                <w:sz w:val="18"/>
                <w:szCs w:val="18"/>
                <w:lang w:bidi="ar"/>
              </w:rPr>
            </w:pPr>
            <w:r>
              <w:rPr>
                <w:rFonts w:hint="eastAsia" w:ascii="宋体" w:hAnsi="宋体" w:cs="宋体"/>
                <w:color w:val="auto"/>
                <w:kern w:val="0"/>
                <w:sz w:val="18"/>
                <w:szCs w:val="18"/>
                <w:lang w:val="zh-CN"/>
              </w:rPr>
              <w:t>（</w:t>
            </w:r>
            <w:r>
              <w:rPr>
                <w:rFonts w:hint="eastAsia" w:ascii="宋体" w:hAnsi="宋体" w:cs="宋体"/>
                <w:color w:val="auto"/>
                <w:kern w:val="0"/>
                <w:sz w:val="18"/>
                <w:szCs w:val="18"/>
              </w:rPr>
              <w:t>4</w:t>
            </w:r>
            <w:r>
              <w:rPr>
                <w:rFonts w:hint="eastAsia" w:ascii="宋体" w:hAnsi="宋体" w:cs="宋体"/>
                <w:color w:val="auto"/>
                <w:kern w:val="0"/>
                <w:sz w:val="18"/>
                <w:szCs w:val="18"/>
                <w:lang w:val="zh-CN"/>
              </w:rPr>
              <w:t>）项目实施过程中产生的垃圾废料由供应商负责清理。</w:t>
            </w:r>
          </w:p>
        </w:tc>
      </w:tr>
      <w:tr w14:paraId="6663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27937D2C">
            <w:pPr>
              <w:widowControl/>
              <w:snapToGrid w:val="0"/>
              <w:spacing w:line="340" w:lineRule="exact"/>
              <w:jc w:val="left"/>
              <w:textAlignment w:val="center"/>
              <w:rPr>
                <w:rFonts w:ascii="宋体" w:hAnsi="宋体" w:cs="宋体"/>
                <w:b/>
                <w:bCs/>
                <w:color w:val="auto"/>
                <w:kern w:val="0"/>
                <w:sz w:val="18"/>
                <w:szCs w:val="18"/>
                <w:lang w:bidi="ar"/>
              </w:rPr>
            </w:pPr>
            <w:r>
              <w:rPr>
                <w:rFonts w:ascii="宋体" w:hAnsi="宋体" w:cs="宋体"/>
                <w:b/>
                <w:bCs/>
                <w:color w:val="auto"/>
                <w:sz w:val="18"/>
                <w:szCs w:val="18"/>
              </w:rPr>
              <w:t>付款方式</w:t>
            </w:r>
          </w:p>
        </w:tc>
        <w:tc>
          <w:tcPr>
            <w:tcW w:w="3703" w:type="pct"/>
            <w:vAlign w:val="center"/>
          </w:tcPr>
          <w:p w14:paraId="331E8E86">
            <w:pPr>
              <w:widowControl/>
              <w:snapToGrid w:val="0"/>
              <w:spacing w:line="340" w:lineRule="exact"/>
              <w:jc w:val="left"/>
              <w:textAlignment w:val="center"/>
              <w:rPr>
                <w:rFonts w:ascii="宋体" w:hAnsi="宋体" w:cs="宋体"/>
                <w:color w:val="auto"/>
                <w:kern w:val="0"/>
                <w:sz w:val="18"/>
                <w:szCs w:val="18"/>
                <w:lang w:bidi="ar"/>
              </w:rPr>
            </w:pPr>
            <w:r>
              <w:rPr>
                <w:rFonts w:hint="eastAsia" w:ascii="宋体" w:hAnsi="宋体" w:cs="宋体"/>
                <w:color w:val="auto"/>
                <w:sz w:val="18"/>
                <w:szCs w:val="18"/>
              </w:rPr>
              <w:t>本项目无预付款,</w:t>
            </w:r>
            <w:r>
              <w:rPr>
                <w:rFonts w:hint="eastAsia" w:ascii="宋体" w:hAnsi="宋体" w:cs="宋体"/>
                <w:color w:val="auto"/>
                <w:kern w:val="0"/>
                <w:sz w:val="18"/>
                <w:szCs w:val="18"/>
              </w:rPr>
              <w:t>中标人按合同约定交货验收合格后采购人支付合同总金额的100%（无息）。</w:t>
            </w:r>
          </w:p>
        </w:tc>
      </w:tr>
      <w:tr w14:paraId="47B5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trPr>
        <w:tc>
          <w:tcPr>
            <w:tcW w:w="1297" w:type="pct"/>
            <w:vAlign w:val="center"/>
          </w:tcPr>
          <w:p w14:paraId="78C1BEF3">
            <w:pPr>
              <w:widowControl/>
              <w:snapToGrid w:val="0"/>
              <w:spacing w:line="340" w:lineRule="exact"/>
              <w:jc w:val="left"/>
              <w:textAlignment w:val="center"/>
              <w:rPr>
                <w:rFonts w:ascii="宋体" w:hAnsi="宋体" w:cs="宋体"/>
                <w:b/>
                <w:bCs/>
                <w:color w:val="auto"/>
                <w:kern w:val="0"/>
                <w:sz w:val="18"/>
                <w:szCs w:val="18"/>
                <w:lang w:bidi="ar"/>
              </w:rPr>
            </w:pPr>
            <w:r>
              <w:rPr>
                <w:rFonts w:ascii="宋体" w:hAnsi="宋体" w:cs="宋体"/>
                <w:b/>
                <w:bCs/>
                <w:color w:val="auto"/>
                <w:sz w:val="18"/>
                <w:szCs w:val="18"/>
              </w:rPr>
              <w:t>验收要求</w:t>
            </w:r>
          </w:p>
        </w:tc>
        <w:tc>
          <w:tcPr>
            <w:tcW w:w="3703" w:type="pct"/>
            <w:vAlign w:val="center"/>
          </w:tcPr>
          <w:p w14:paraId="61D14D53">
            <w:pPr>
              <w:widowControl/>
              <w:snapToGrid w:val="0"/>
              <w:spacing w:line="340" w:lineRule="exact"/>
              <w:jc w:val="left"/>
              <w:textAlignment w:val="center"/>
              <w:rPr>
                <w:rFonts w:ascii="宋体" w:hAnsi="宋体" w:cs="宋体"/>
                <w:color w:val="auto"/>
                <w:kern w:val="0"/>
                <w:sz w:val="18"/>
                <w:szCs w:val="18"/>
              </w:rPr>
            </w:pPr>
            <w:r>
              <w:rPr>
                <w:rFonts w:hint="eastAsia" w:ascii="宋体" w:hAnsi="宋体" w:cs="宋体"/>
                <w:color w:val="auto"/>
                <w:kern w:val="0"/>
                <w:sz w:val="18"/>
                <w:szCs w:val="18"/>
              </w:rPr>
              <w:t>1.在采购人指定地点由采购人、中标人、使用方共同现场验收，并出具验收文书。严格按照招标文件的采购需求要求及中标供应商响应文件的响应情况进行核验，有必要时可委托第三方或具有相关资质的第三方检测机构，开展采购项目验收工作。如未达到采购需求要求，则不予通过验收，中标供应商须按采购文件要求限期整改，整改时限为15天，如因此过程耽误交货时间导致采购人不能及时接受货物、安装货物、使用货物造成损失的，中标供应商承担由此所造成全部损失。如超出整改期限仍未达到验收要求的，采购人有权终止合同并报监督管理机构认定其为虚假应标，并按规定追究供应商相应责任。</w:t>
            </w:r>
          </w:p>
          <w:p w14:paraId="531097D5">
            <w:pPr>
              <w:widowControl/>
              <w:spacing w:line="340" w:lineRule="exact"/>
              <w:jc w:val="left"/>
              <w:rPr>
                <w:rFonts w:ascii="宋体" w:hAnsi="宋体" w:cs="宋体"/>
                <w:color w:val="auto"/>
                <w:kern w:val="0"/>
                <w:sz w:val="18"/>
                <w:szCs w:val="18"/>
              </w:rPr>
            </w:pPr>
            <w:r>
              <w:rPr>
                <w:rFonts w:hint="eastAsia" w:ascii="宋体" w:hAnsi="宋体" w:cs="宋体"/>
                <w:color w:val="auto"/>
                <w:kern w:val="0"/>
                <w:sz w:val="18"/>
                <w:szCs w:val="18"/>
              </w:rPr>
              <w:t>2.本次采购货物在完成所有安装调试并经采购人验收前，商品的丢失、损害或毁坏等风险由中标供应商承担。中标供应商组织安装调试期间应做到安全安装调试，不损坏采购人的设备设施，否则，应承担由于自身安全措施不力所造成的事故责任和造成的损失。</w:t>
            </w:r>
          </w:p>
          <w:p w14:paraId="5E978B98">
            <w:pPr>
              <w:widowControl/>
              <w:spacing w:line="340" w:lineRule="exact"/>
              <w:jc w:val="left"/>
              <w:textAlignment w:val="center"/>
              <w:rPr>
                <w:rFonts w:ascii="宋体" w:hAnsi="宋体" w:cs="宋体"/>
                <w:color w:val="auto"/>
                <w:kern w:val="0"/>
                <w:sz w:val="18"/>
                <w:szCs w:val="18"/>
              </w:rPr>
            </w:pPr>
            <w:r>
              <w:rPr>
                <w:rFonts w:hint="eastAsia" w:ascii="宋体" w:hAnsi="宋体" w:cs="宋体"/>
                <w:color w:val="auto"/>
                <w:kern w:val="0"/>
                <w:sz w:val="18"/>
                <w:szCs w:val="18"/>
              </w:rPr>
              <w:t>3.中标供应商必须于货物验收前提供投标时所出具的检测（检验）报告原件备查，否则不予验收。如提供的检测（检验）报告原件与投标时出具的检查报告复印件不符，采购人有权终止合同并报监督管理机构认定其为虚假应标，并按规定追究供应商相应责任。</w:t>
            </w:r>
          </w:p>
          <w:p w14:paraId="28E11CCC">
            <w:pPr>
              <w:spacing w:line="340" w:lineRule="exact"/>
              <w:jc w:val="left"/>
              <w:rPr>
                <w:rFonts w:ascii="宋体" w:hAnsi="宋体" w:cs="宋体"/>
                <w:color w:val="auto"/>
                <w:kern w:val="0"/>
                <w:sz w:val="18"/>
                <w:szCs w:val="18"/>
              </w:rPr>
            </w:pPr>
            <w:r>
              <w:rPr>
                <w:rFonts w:hint="eastAsia" w:ascii="宋体" w:hAnsi="宋体" w:cs="宋体"/>
                <w:color w:val="auto"/>
                <w:kern w:val="0"/>
                <w:sz w:val="18"/>
                <w:szCs w:val="18"/>
              </w:rPr>
              <w:t>4.为保证售后服务质量，投标供应商必须能够满足产品参数要求及保证货物正品渠道，验收时必须提供第19项货物“智慧黑板”生产厂家针对此项目售后服务承诺函原件备查，如不能提供则不予验收。</w:t>
            </w:r>
          </w:p>
          <w:p w14:paraId="28992718">
            <w:pPr>
              <w:widowControl/>
              <w:snapToGrid w:val="0"/>
              <w:spacing w:line="340" w:lineRule="exact"/>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rPr>
              <w:t>5.验收费用：验收所产生的劳务费、检验费及相关发生的全部费用均由中标供应商承担。</w:t>
            </w:r>
          </w:p>
        </w:tc>
      </w:tr>
      <w:tr w14:paraId="7B78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2" w:hRule="atLeast"/>
        </w:trPr>
        <w:tc>
          <w:tcPr>
            <w:tcW w:w="5000" w:type="pct"/>
            <w:gridSpan w:val="2"/>
            <w:vAlign w:val="center"/>
          </w:tcPr>
          <w:p w14:paraId="6E653F4B">
            <w:pPr>
              <w:autoSpaceDE w:val="0"/>
              <w:autoSpaceDN w:val="0"/>
              <w:adjustRightInd w:val="0"/>
              <w:spacing w:line="468" w:lineRule="atLeast"/>
              <w:jc w:val="left"/>
              <w:rPr>
                <w:rFonts w:ascii="宋体" w:hAnsi="宋体" w:cs="宋体"/>
                <w:b/>
                <w:color w:val="auto"/>
                <w:sz w:val="18"/>
                <w:szCs w:val="18"/>
              </w:rPr>
            </w:pPr>
            <w:r>
              <w:rPr>
                <w:rFonts w:hint="eastAsia" w:ascii="宋体" w:hAnsi="宋体" w:cs="宋体"/>
                <w:b/>
                <w:color w:val="auto"/>
                <w:sz w:val="18"/>
                <w:szCs w:val="18"/>
              </w:rPr>
              <w:t xml:space="preserve">  </w:t>
            </w:r>
            <w:r>
              <w:rPr>
                <w:rFonts w:hint="eastAsia" w:ascii="宋体" w:hAnsi="宋体" w:cs="宋体"/>
                <w:b/>
                <w:color w:val="auto"/>
                <w:sz w:val="18"/>
                <w:szCs w:val="18"/>
              </w:rPr>
              <w:t>备注：标注“★”号的条款为实质性要求和条件,不允许有负偏离,否则投标无效。</w:t>
            </w:r>
          </w:p>
        </w:tc>
      </w:tr>
    </w:tbl>
    <w:p w14:paraId="6F5F471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F6AC3"/>
    <w:rsid w:val="156F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2025-11-07T02:35:00Z</dcterms:created>
  <dc:creator>龙大大</dc:creator>
  <cp:lastModifiedBy>龙大大</cp:lastModifiedBy>
  <dcterms:modified xsi:type="dcterms:W3CDTF">2025-11-07T02:36:24Z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AF85CD665691422FA599C993F65FA276_11</vt:lpwstr>
  </property>
  <property fmtid="{D5CDD505-2E9C-101B-9397-08002B2CF9AE}" pid="4" name="KSOTemplateDocerSaveRecord">
    <vt:lpwstr>eyJoZGlkIjoiYzJlNGJmYmU5MWRmMTJjZjhjMWFhYzRjODJjY2M3ZjYiLCJ1c2VySWQiOiIyNDEzNDc1OTgifQ==</vt:lpwstr>
  </property>
</Properties>
</file>